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遥观镇镇区道路维修保养项目竞争性磋商文件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2832" w:right="0" w:hanging="190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项目名称：遥观镇镇区道路维修保养项目</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w:t>
      </w:r>
      <w:r>
        <w:rPr>
          <w:rFonts w:ascii="SimSun" w:hAnsi="SimSun" w:eastAsia="SimSun" w:cs="SimSun"/>
          <w:color w:val="000000"/>
          <w:sz w:val="36"/>
        </w:rPr>
        <w:t xml:space="preserve">包号：</w:t>
      </w:r>
      <w:r>
        <w:rPr>
          <w:rFonts w:ascii="Times New Roman" w:hAnsi="Times New Roman" w:eastAsia="Times New Roman" w:cs="Times New Roman"/>
          <w:color w:val="000000"/>
          <w:sz w:val="36"/>
        </w:rPr>
        <w:t xml:space="preserve">JSZC-320412-SSGL-C2026-0005</w:t>
      </w:r>
      <w:r>
        <w:rPr>
          <w:rFonts w:ascii="SimSun" w:hAnsi="SimSun" w:eastAsia="SimSun" w:cs="SimSun"/>
          <w:color w:val="000000"/>
          <w:sz w:val="36"/>
        </w:rPr>
        <w:t xml:space="preserve">     </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人：常州市武进区遥观镇人民政府</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采购代理机构：江苏三省管理咨询有限公司</w:t>
      </w:r>
      <w:r>
        <w:rPr>
          <w:rFonts w:ascii="Times New Roman" w:hAnsi="Times New Roman" w:eastAsia="Times New Roman" w:cs="Times New Roman"/>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4818925" w:history="1">
        <w:r>
          <w:rPr>
            <w:rStyle w:val="976"/>
            <w:rFonts w:ascii="SimSun" w:hAnsi="SimSun" w:eastAsia="SimSun" w:cs="SimSun"/>
            <w:color w:val="0000ee"/>
            <w:sz w:val="24"/>
            <w:u w:val="single"/>
          </w:rPr>
          <w:t xml:space="preserve">第一章</w:t>
        </w:r>
        <w:r>
          <w:rPr>
            <w:rStyle w:val="976"/>
            <w:rFonts w:ascii="Times New Roman" w:hAnsi="Times New Roman" w:eastAsia="Times New Roman" w:cs="Times New Roman"/>
            <w:color w:val="0000ee"/>
            <w:sz w:val="24"/>
            <w:u w:val="single"/>
          </w:rPr>
          <w:t xml:space="preserve">   </w:t>
        </w:r>
        <w:r>
          <w:rPr>
            <w:rStyle w:val="976"/>
            <w:rFonts w:ascii="SimSun" w:hAnsi="SimSun" w:eastAsia="SimSun" w:cs="SimSun"/>
            <w:color w:val="0000ee"/>
            <w:sz w:val="24"/>
            <w:u w:val="single"/>
          </w:rPr>
          <w:t xml:space="preserve">采购邀请</w:t>
        </w:r>
        <w:r>
          <w:rPr>
            <w:rStyle w:val="976"/>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818926" w:history="1">
        <w:r>
          <w:rPr>
            <w:rStyle w:val="976"/>
            <w:rFonts w:ascii="SimSun" w:hAnsi="SimSun" w:eastAsia="SimSun" w:cs="SimSun"/>
            <w:color w:val="0000ee"/>
            <w:sz w:val="24"/>
            <w:u w:val="single"/>
          </w:rPr>
          <w:t xml:space="preserve">第二章</w:t>
        </w:r>
        <w:r>
          <w:rPr>
            <w:rStyle w:val="976"/>
            <w:rFonts w:ascii="Times New Roman" w:hAnsi="Times New Roman" w:eastAsia="Times New Roman" w:cs="Times New Roman"/>
            <w:color w:val="0000ee"/>
            <w:sz w:val="24"/>
            <w:u w:val="single"/>
          </w:rPr>
          <w:t xml:space="preserve">   </w:t>
        </w:r>
        <w:r>
          <w:rPr>
            <w:rStyle w:val="976"/>
            <w:rFonts w:ascii="SimSun" w:hAnsi="SimSun" w:eastAsia="SimSun" w:cs="SimSun"/>
            <w:color w:val="0000ee"/>
            <w:sz w:val="24"/>
            <w:u w:val="single"/>
          </w:rPr>
          <w:t xml:space="preserve">供应商须知</w:t>
        </w:r>
        <w:r>
          <w:rPr>
            <w:rStyle w:val="976"/>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04818927" w:history="1">
        <w:r>
          <w:rPr>
            <w:rStyle w:val="976"/>
            <w:rFonts w:ascii="SimSun" w:hAnsi="SimSun" w:eastAsia="SimSun" w:cs="SimSun"/>
            <w:color w:val="0000ee"/>
            <w:sz w:val="24"/>
            <w:u w:val="single"/>
          </w:rPr>
          <w:t xml:space="preserve">第三章</w:t>
        </w:r>
        <w:r>
          <w:rPr>
            <w:rStyle w:val="976"/>
            <w:rFonts w:ascii="Times New Roman" w:hAnsi="Times New Roman" w:eastAsia="Times New Roman" w:cs="Times New Roman"/>
            <w:color w:val="0000ee"/>
            <w:sz w:val="24"/>
            <w:u w:val="single"/>
          </w:rPr>
          <w:t xml:space="preserve">   </w:t>
        </w:r>
        <w:r>
          <w:rPr>
            <w:rStyle w:val="976"/>
            <w:rFonts w:ascii="SimSun" w:hAnsi="SimSun" w:eastAsia="SimSun" w:cs="SimSun"/>
            <w:color w:val="0000ee"/>
            <w:sz w:val="24"/>
            <w:u w:val="single"/>
          </w:rPr>
          <w:t xml:space="preserve">评审程序、评审方法和评审标准</w:t>
        </w:r>
        <w:r>
          <w:rPr>
            <w:rStyle w:val="976"/>
            <w:rFonts w:ascii="SimSun" w:hAnsi="SimSun" w:eastAsia="SimSun" w:cs="SimSun"/>
            <w:b/>
            <w:color w:val="0000ee"/>
            <w:sz w:val="24"/>
            <w:u w:val="single"/>
          </w:rPr>
          <w:tab/>
          <w:t xml:space="preserve">2</w:t>
        </w:r>
      </w:hyperlink>
      <w:r>
        <w:rPr>
          <w:rFonts w:ascii="SimSun" w:hAnsi="SimSun" w:eastAsia="SimSun" w:cs="SimSun"/>
          <w:color w:val="000000"/>
          <w:sz w:val="24"/>
          <w:u w:val="single"/>
        </w:rPr>
        <w:t xml:space="preserve">0</w:t>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04818928" w:history="1">
        <w:r>
          <w:rPr>
            <w:rStyle w:val="976"/>
            <w:rFonts w:ascii="SimSun" w:hAnsi="SimSun" w:eastAsia="SimSun" w:cs="SimSun"/>
            <w:color w:val="0000ee"/>
            <w:sz w:val="24"/>
            <w:u w:val="single"/>
          </w:rPr>
          <w:t xml:space="preserve">第四章</w:t>
        </w:r>
        <w:r>
          <w:rPr>
            <w:rStyle w:val="976"/>
            <w:rFonts w:ascii="Times New Roman" w:hAnsi="Times New Roman" w:eastAsia="Times New Roman" w:cs="Times New Roman"/>
            <w:color w:val="0000ee"/>
            <w:sz w:val="24"/>
            <w:u w:val="single"/>
          </w:rPr>
          <w:t xml:space="preserve">   </w:t>
        </w:r>
        <w:r>
          <w:rPr>
            <w:rStyle w:val="976"/>
            <w:rFonts w:ascii="SimSun" w:hAnsi="SimSun" w:eastAsia="SimSun" w:cs="SimSun"/>
            <w:color w:val="0000ee"/>
            <w:sz w:val="24"/>
            <w:u w:val="single"/>
          </w:rPr>
          <w:t xml:space="preserve">采购需求</w:t>
        </w:r>
        <w:r>
          <w:rPr>
            <w:rStyle w:val="976"/>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04818929" w:history="1">
        <w:r>
          <w:rPr>
            <w:rStyle w:val="976"/>
            <w:rFonts w:ascii="SimSun" w:hAnsi="SimSun" w:eastAsia="SimSun" w:cs="SimSun"/>
            <w:color w:val="0000ee"/>
            <w:sz w:val="24"/>
            <w:u w:val="single"/>
          </w:rPr>
          <w:t xml:space="preserve">第五章</w:t>
        </w:r>
        <w:r>
          <w:rPr>
            <w:rStyle w:val="976"/>
            <w:rFonts w:ascii="Times New Roman" w:hAnsi="Times New Roman" w:eastAsia="Times New Roman" w:cs="Times New Roman"/>
            <w:color w:val="0000ee"/>
            <w:sz w:val="24"/>
            <w:u w:val="single"/>
          </w:rPr>
          <w:t xml:space="preserve">   </w:t>
        </w:r>
        <w:r>
          <w:rPr>
            <w:rStyle w:val="976"/>
            <w:rFonts w:ascii="SimSun" w:hAnsi="SimSun" w:eastAsia="SimSun" w:cs="SimSun"/>
            <w:color w:val="0000ee"/>
            <w:sz w:val="24"/>
            <w:u w:val="single"/>
          </w:rPr>
          <w:t xml:space="preserve">合同草案条款</w:t>
        </w:r>
        <w:r>
          <w:rPr>
            <w:rStyle w:val="976"/>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04818930" w:history="1">
        <w:r>
          <w:rPr>
            <w:rStyle w:val="976"/>
            <w:rFonts w:ascii="SimSun" w:hAnsi="SimSun" w:eastAsia="SimSun" w:cs="SimSun"/>
            <w:color w:val="0000ee"/>
            <w:sz w:val="24"/>
            <w:u w:val="single"/>
          </w:rPr>
          <w:t xml:space="preserve">第七章</w:t>
        </w:r>
        <w:r>
          <w:rPr>
            <w:rStyle w:val="976"/>
            <w:rFonts w:ascii="Times New Roman" w:hAnsi="Times New Roman" w:eastAsia="Times New Roman" w:cs="Times New Roman"/>
            <w:color w:val="0000ee"/>
            <w:sz w:val="24"/>
            <w:u w:val="single"/>
          </w:rPr>
          <w:t xml:space="preserve">   </w:t>
        </w:r>
        <w:r>
          <w:rPr>
            <w:rStyle w:val="976"/>
            <w:rFonts w:ascii="SimSun" w:hAnsi="SimSun" w:eastAsia="SimSun" w:cs="SimSun"/>
            <w:color w:val="0000ee"/>
            <w:sz w:val="24"/>
            <w:u w:val="single"/>
          </w:rPr>
          <w:t xml:space="preserve">响应文件格式</w:t>
        </w:r>
        <w:r>
          <w:rPr>
            <w:rStyle w:val="976"/>
            <w:rFonts w:ascii="SimSun" w:hAnsi="SimSun" w:eastAsia="SimSun" w:cs="SimSun"/>
            <w:b/>
            <w:color w:val="0000ee"/>
            <w:sz w:val="24"/>
            <w:u w:val="single"/>
          </w:rPr>
          <w:tab/>
          <w:t xml:space="preserve">4</w:t>
        </w:r>
      </w:hyperlink>
      <w:r>
        <w:rPr>
          <w:rFonts w:ascii="SimSun" w:hAnsi="SimSun" w:eastAsia="SimSun" w:cs="SimSun"/>
          <w:color w:val="000000"/>
          <w:sz w:val="24"/>
          <w:u w:val="single"/>
        </w:rPr>
        <w:t xml:space="preserve">1</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第一章采购邀请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23"/>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JSZC-320412-SSGL-C2026-0005</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项目名称：遥观镇镇区道路维修保养项目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项目预算金额：</w:t>
      </w:r>
      <w:r>
        <w:rPr>
          <w:rFonts w:ascii="Times New Roman" w:hAnsi="Times New Roman" w:eastAsia="Times New Roman" w:cs="Times New Roman"/>
          <w:color w:val="000000"/>
          <w:sz w:val="24"/>
        </w:rPr>
        <w:t xml:space="preserve">140</w:t>
      </w:r>
      <w:r>
        <w:rPr>
          <w:rFonts w:ascii="SimSun" w:hAnsi="SimSun" w:eastAsia="SimSun" w:cs="SimSun"/>
          <w:color w:val="000000"/>
          <w:sz w:val="24"/>
        </w:rPr>
        <w:t xml:space="preserve">万元。项目最高限价：0≤优惠率&lt;100%，超出此范围则视为无效投标。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14"/>
        <w:gridCol w:w="1814"/>
        <w:gridCol w:w="1814"/>
        <w:gridCol w:w="1814"/>
        <w:gridCol w:w="1814"/>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采购包预算金额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简要技术需求或服务要求</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遥观镇镇区道路维修保养项目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遥观镇道路路面修补，灌缝及相关配套设施修复等，具体详见采购需求。</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本项目是否接受联合体：</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w:t>
      </w:r>
      <w:r>
        <w:rPr>
          <w:rFonts w:ascii="SimSun" w:hAnsi="SimSun" w:eastAsia="SimSun" w:cs="SimSun"/>
          <w:color w:val="000000"/>
          <w:sz w:val="21"/>
        </w:rPr>
        <w:t xml:space="preserve">■</w:t>
      </w:r>
      <w:r>
        <w:rPr>
          <w:rFonts w:ascii="SimSun" w:hAnsi="SimSun" w:eastAsia="SimSun" w:cs="SimSun"/>
          <w:color w:val="000000"/>
          <w:sz w:val="24"/>
        </w:rPr>
        <w:t xml:space="preserve">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8.</w:t>
      </w:r>
      <w:r>
        <w:rPr>
          <w:rFonts w:ascii="SimSun" w:hAnsi="SimSun" w:eastAsia="SimSun" w:cs="SimSun"/>
          <w:color w:val="000000"/>
          <w:sz w:val="24"/>
        </w:rPr>
        <w:t xml:space="preserve">本项目是否接受进口产品响应：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  </w:t>
      </w:r>
      <w:r>
        <w:rPr>
          <w:rFonts w:ascii="SimSun" w:hAnsi="SimSun" w:eastAsia="SimSun" w:cs="SimSun"/>
          <w:color w:val="000000"/>
          <w:sz w:val="21"/>
        </w:rPr>
        <w:t xml:space="preserve">■</w:t>
      </w:r>
      <w:r>
        <w:rPr>
          <w:rFonts w:ascii="SimSun" w:hAnsi="SimSun" w:eastAsia="SimSun" w:cs="SimSun"/>
          <w:color w:val="000000"/>
          <w:sz w:val="24"/>
        </w:rPr>
        <w:t xml:space="preserve">否。</w:t>
      </w:r>
      <w:r/>
    </w:p>
    <w:p>
      <w:pPr>
        <w:pStyle w:val="723"/>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none"/>
        </w:rPr>
        <w:t xml:space="preserve">满足《中华人民共和国政府采购法》第二十二条规定</w:t>
      </w:r>
      <w:r>
        <w:rPr>
          <w:rFonts w:ascii="SimSun" w:hAnsi="SimSun" w:eastAsia="SimSun" w:cs="SimSun"/>
          <w:color w:val="000000"/>
          <w:sz w:val="24"/>
        </w:rPr>
        <w:t xml:space="preserve">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未被“信用中国”网站（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）或“中国政府采购网”网站（</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本项目不专门面向中小企业预留采购份额。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w:t>
      </w:r>
      <w:r>
        <w:rPr>
          <w:rFonts w:ascii="Times New Roman" w:hAnsi="Times New Roman" w:eastAsia="Times New Roman" w:cs="Times New Roman"/>
          <w:color w:val="000000"/>
          <w:sz w:val="24"/>
        </w:rPr>
        <w:t xml:space="preserve"> </w:t>
      </w:r>
      <w:r>
        <w:rPr>
          <w:rFonts w:ascii="Wingdings 2" w:hAnsi="Wingdings 2" w:eastAsia="Wingdings 2" w:cs="Wingdings 2"/>
          <w:color w:val="000000"/>
          <w:sz w:val="24"/>
        </w:rPr>
        <w:t xml:space="preserve">£</w:t>
      </w:r>
      <w:r>
        <w:rPr>
          <w:rFonts w:ascii="SimSun" w:hAnsi="SimSun" w:eastAsia="SimSun" w:cs="SimSun"/>
          <w:color w:val="000000"/>
          <w:sz w:val="24"/>
        </w:rPr>
        <w:t xml:space="preserve">小微企业采购。即：提供的货物全部由符合政策要求的中小企业制造、服务全部由符合政策要求的中小企业承接。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其它落实政府采购政策的资格要求（如有）：</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本项目是否接受分支机构参与响应：</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w:t>
      </w:r>
      <w:r>
        <w:rPr>
          <w:rFonts w:ascii="SimSun" w:hAnsi="SimSun" w:eastAsia="SimSun" w:cs="SimSun"/>
          <w:color w:val="000000"/>
          <w:sz w:val="21"/>
        </w:rPr>
        <w:t xml:space="preserve">■</w:t>
      </w:r>
      <w:r>
        <w:rPr>
          <w:rFonts w:ascii="SimSun" w:hAnsi="SimSun" w:eastAsia="SimSun" w:cs="SimSun"/>
          <w:color w:val="000000"/>
          <w:sz w:val="24"/>
        </w:rPr>
        <w:t xml:space="preserve">否；（仅当项目涉及银行、保险、石油石化、电力、电信等行业有特殊情况的，可以接受分支机构参与）</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本项目是否属于政府购买服务：</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否</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是，公益一类事业单位、使用事业编制且由财政拨款保障的群团组织，不得作为承接主体；</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其他特定资格要求：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3.3.1供应商具备有效的市政公用工程施工总承包三级及以上资质；</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3.3.2供应商具有有效的安全生产许可证。</w:t>
      </w:r>
      <w:r/>
    </w:p>
    <w:p>
      <w:pPr>
        <w:pStyle w:val="723"/>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时间：自磋商文件公告发布之日起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地点：政府采购一体化平台“苏采云”。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方式：供应商持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数字认证证书登录政府采购一体化平台“苏采云”获取电子版招标文件。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售价：</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元。</w:t>
      </w:r>
      <w:r/>
    </w:p>
    <w:p>
      <w:pPr>
        <w:pStyle w:val="723"/>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响应文件提交</w:t>
      </w:r>
      <w:r/>
    </w:p>
    <w:p>
      <w:pPr>
        <w:pStyle w:val="723"/>
        <w:ind w:left="0" w:right="0" w:firstLine="48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截止时间：</w:t>
      </w:r>
      <w:r>
        <w:rPr>
          <w:rFonts w:ascii="Times New Roman" w:hAnsi="Times New Roman" w:eastAsia="Times New Roman" w:cs="Times New Roman"/>
          <w:b/>
          <w:color w:val="000000"/>
          <w:sz w:val="24"/>
        </w:rPr>
        <w:t xml:space="preserve">2026</w:t>
      </w:r>
      <w:r>
        <w:rPr>
          <w:rFonts w:ascii="SimSun" w:hAnsi="SimSun" w:eastAsia="SimSun" w:cs="SimSun"/>
          <w:b/>
          <w:color w:val="000000"/>
          <w:sz w:val="24"/>
        </w:rPr>
        <w:t xml:space="preserve">年 </w:t>
      </w:r>
      <w:r>
        <w:rPr>
          <w:rFonts w:ascii="Times New Roman" w:hAnsi="Times New Roman" w:eastAsia="Times New Roman" w:cs="Times New Roman"/>
          <w:b/>
          <w:color w:val="000000"/>
          <w:sz w:val="24"/>
        </w:rPr>
        <w:t xml:space="preserve">03 </w:t>
      </w:r>
      <w:r>
        <w:rPr>
          <w:rFonts w:ascii="SimSun" w:hAnsi="SimSun" w:eastAsia="SimSun" w:cs="SimSun"/>
          <w:b/>
          <w:color w:val="000000"/>
          <w:sz w:val="24"/>
        </w:rPr>
        <w:t xml:space="preserve">月 </w:t>
      </w:r>
      <w:r>
        <w:rPr>
          <w:rFonts w:ascii="Times New Roman" w:hAnsi="Times New Roman" w:eastAsia="Times New Roman" w:cs="Times New Roman"/>
          <w:b/>
          <w:color w:val="000000"/>
          <w:sz w:val="24"/>
        </w:rPr>
        <w:t xml:space="preserve">17 </w:t>
      </w:r>
      <w:r>
        <w:rPr>
          <w:rFonts w:ascii="SimSun" w:hAnsi="SimSun" w:eastAsia="SimSun" w:cs="SimSun"/>
          <w:b/>
          <w:color w:val="000000"/>
          <w:sz w:val="24"/>
        </w:rPr>
        <w:t xml:space="preserve">日</w:t>
      </w: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点</w:t>
      </w:r>
      <w:r>
        <w:rPr>
          <w:rFonts w:ascii="Times New Roman" w:hAnsi="Times New Roman" w:eastAsia="Times New Roman" w:cs="Times New Roman"/>
          <w:b/>
          <w:color w:val="000000"/>
          <w:sz w:val="24"/>
        </w:rPr>
        <w:t xml:space="preserve">00</w:t>
      </w:r>
      <w:r>
        <w:rPr>
          <w:rFonts w:ascii="SimSun" w:hAnsi="SimSun" w:eastAsia="SimSun" w:cs="SimSun"/>
          <w:b/>
          <w:color w:val="000000"/>
          <w:sz w:val="24"/>
        </w:rPr>
        <w:t xml:space="preserve">分（北京时间）。</w:t>
      </w:r>
      <w:r/>
    </w:p>
    <w:p>
      <w:pPr>
        <w:pStyle w:val="723"/>
        <w:ind w:left="0" w:right="0" w:firstLine="48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地点：本项目采用不见面交易方式，无需到现场提交，投标人登录政府采购一体化平台“苏采云”供应商端，通过系统在线提交电子投标文件。</w:t>
      </w:r>
      <w:r/>
    </w:p>
    <w:p>
      <w:pPr>
        <w:pStyle w:val="723"/>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03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17 </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地点：本项目采用不见面交易方式，无需到现场提交，投标人登录政府采购一体化平台“苏采云”供应商端，通过系统在线提交电子投标文件。</w:t>
      </w:r>
      <w:r/>
    </w:p>
    <w:p>
      <w:pPr>
        <w:pStyle w:val="723"/>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w:t>
      </w:r>
      <w:r/>
    </w:p>
    <w:p>
      <w:pPr>
        <w:pStyle w:val="723"/>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本项目需要落实的政府采购政策：</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本项目采用不见面交易方式，请供应商认真学习政府采购一体化平台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的相关操作手册，办理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认证证书、进行政府采购一体化平台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注册绑定，并认真核实数字认证证书情况确认是否符合本项目电子化采购流程要求。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技术支持服务热线</w:t>
      </w:r>
      <w:r>
        <w:rPr>
          <w:rFonts w:ascii="Times New Roman" w:hAnsi="Times New Roman" w:eastAsia="Times New Roman" w:cs="Times New Roman"/>
          <w:color w:val="000000"/>
          <w:sz w:val="24"/>
        </w:rPr>
        <w:t xml:space="preserve">0519-85588210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认证证书办理（可邮寄）联系电话</w:t>
      </w:r>
      <w:r>
        <w:rPr>
          <w:rFonts w:ascii="Times New Roman" w:hAnsi="Times New Roman" w:eastAsia="Times New Roman" w:cs="Times New Roman"/>
          <w:color w:val="000000"/>
          <w:sz w:val="24"/>
        </w:rPr>
        <w:t xml:space="preserve">0519-85588120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办理</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投标人登录政府采购一体化平台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新</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办理指南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，按照程序要求办理。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注册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投标人登录政府采购一体化平台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下载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用户注册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查阅后进行自助注册。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控件、客户端下载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投标人登录政府采购一体化平台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下载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驱动下载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，安装驱动。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 </w:t>
      </w:r>
      <w:r>
        <w:rPr>
          <w:rFonts w:ascii="SimSun" w:hAnsi="SimSun" w:eastAsia="SimSun" w:cs="SimSun"/>
          <w:color w:val="000000"/>
          <w:sz w:val="24"/>
        </w:rPr>
        <w:t xml:space="preserve">获取电子招标文件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数字认证证书登录政府采购一体化平台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获取电子招标文件。未在规定期限内通过投标人持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数字认证证书登录政府采购一体化平台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获取招标文件的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编制电子投标文件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提交电子投标文件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供应商应于投标截止时间前在投标人持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数字认证证书登录政府采购一体化平台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提交电子投标文件，上传电子投标文件过程中请保持与互联网的连接畅通。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rPr>
          <w:rFonts w:ascii="SimSun" w:hAnsi="SimSun" w:eastAsia="SimSun" w:cs="SimSun"/>
          <w:color w:val="000000"/>
          <w:sz w:val="24"/>
        </w:rPr>
        <w:t xml:space="preserve">电子开标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认证证书登录投标人持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数字认证证书登录政府采购一体化平台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苏采云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进行电子化不见面开标。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w:t>
      </w:r>
      <w:r>
        <w:rPr>
          <w:rFonts w:ascii="SimSun" w:hAnsi="SimSun" w:eastAsia="SimSun" w:cs="SimSun"/>
          <w:color w:val="000000"/>
          <w:sz w:val="24"/>
        </w:rPr>
        <w:t xml:space="preserve">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关于常州市中小企业政府采购信用融资：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政采融资平台栏目。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23"/>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八、对本项目提出询问，请按以下方式联系。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采购人信息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常州市武进区遥观镇人民政府</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地址：常州市武进区遥观镇政和路</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号</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联系方式：陈先生、</w:t>
      </w:r>
      <w:r>
        <w:rPr>
          <w:rFonts w:ascii="Times New Roman" w:hAnsi="Times New Roman" w:eastAsia="Times New Roman" w:cs="Times New Roman"/>
          <w:color w:val="000000"/>
          <w:sz w:val="24"/>
        </w:rPr>
        <w:t xml:space="preserve">0519-88701619</w:t>
      </w:r>
      <w:r/>
    </w:p>
    <w:p>
      <w:pPr>
        <w:ind w:left="1080" w:right="0" w:hanging="301"/>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采购代理机构信息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江苏三省管理咨询有限公司</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地址：常州市武进区湖塘镇人民中路</w:t>
      </w:r>
      <w:r>
        <w:rPr>
          <w:rFonts w:ascii="Times New Roman" w:hAnsi="Times New Roman" w:eastAsia="Times New Roman" w:cs="Times New Roman"/>
          <w:color w:val="000000"/>
          <w:sz w:val="24"/>
        </w:rPr>
        <w:t xml:space="preserve">708</w:t>
      </w:r>
      <w:r>
        <w:rPr>
          <w:rFonts w:ascii="SimSun" w:hAnsi="SimSun" w:eastAsia="SimSun" w:cs="SimSun"/>
          <w:color w:val="000000"/>
          <w:sz w:val="24"/>
        </w:rPr>
        <w:t xml:space="preserve">号</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13338001821</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项目联系方式</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项目联系人：汪朝阳</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13338001821</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注：上述个人信息由于工作需要经机构或本人同意对外公布。</w:t>
      </w:r>
      <w:r/>
    </w:p>
    <w:p>
      <w:pPr>
        <w:ind w:left="1076" w:right="0" w:hanging="297"/>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8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第二章供应商须知</w:t>
      </w:r>
      <w:r/>
    </w:p>
    <w:p>
      <w:pPr>
        <w:pStyle w:val="723"/>
        <w:ind w:left="0" w:right="0" w:firstLine="0"/>
        <w:jc w:val="center"/>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w:t>
      </w:r>
      <w:r>
        <w:rPr>
          <w:rFonts w:ascii="Times New Roman" w:hAnsi="Times New Roman" w:eastAsia="Times New Roman" w:cs="Times New Roman"/>
          <w:color w:val="000000"/>
          <w:sz w:val="24"/>
        </w:rPr>
        <w:t xml:space="preserve">“</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的选项意为适用于本项目，标记</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的选项意为不适用于本项目。</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4"/>
        <w:gridCol w:w="1643"/>
        <w:gridCol w:w="6757"/>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工程</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否</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组织，考察时间：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不召开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召开，召开时间：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tc>
      </w:tr>
      <w:tr>
        <w:trPr>
          <w:trHeight w:val="1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b/>
                <w:color w:val="000000"/>
                <w:sz w:val="24"/>
                <w:u w:val="single"/>
              </w:rPr>
              <w:t xml:space="preserve">建筑业</w:t>
            </w:r>
            <w:r/>
          </w:p>
        </w:tc>
      </w:tr>
      <w:tr>
        <w:trPr>
          <w:trHeight w:val="1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本国产品政策支持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关于对采购本国产品给予政策支持，本项目：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适用</w:t>
            </w: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不适用。</w:t>
            </w:r>
            <w:r/>
          </w:p>
          <w:p>
            <w:pPr>
              <w:ind w:left="0" w:right="0" w:firstLine="0"/>
              <w:jc w:val="both"/>
              <w:spacing w:before="0" w:after="20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trHeight w:val="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有，具体情形：</w:t>
            </w:r>
            <w:r>
              <w:rPr>
                <w:rFonts w:ascii="SimSun" w:hAnsi="SimSun" w:eastAsia="SimSun" w:cs="SimSun"/>
                <w:color w:val="000000"/>
                <w:sz w:val="24"/>
                <w:u w:val="single"/>
              </w:rPr>
              <w:t xml:space="preserve">本项目采用二次报价，电子响应文件中的书面报价为首轮报价，第二轮报价为最后报价</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通过系统在线报价</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。最后报价不得超过预算、最高限价及首轮报价，否则作无效报价文件处理。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允许，具体要求：</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）可以分包履行的具体内容：</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）允许分包的金额或者比例：</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）其他要求：</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SimSun" w:hAnsi="SimSun" w:eastAsia="SimSun" w:cs="SimSun"/>
                <w:color w:val="000000"/>
                <w:sz w:val="24"/>
                <w:u w:val="single"/>
              </w:rPr>
              <w:t xml:space="preserve">书面</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供应商对招标文件如有疑问，请将疑问于</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03 </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10 </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17</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00</w:t>
            </w:r>
            <w:r>
              <w:rPr>
                <w:rFonts w:ascii="SimSun" w:hAnsi="SimSun" w:eastAsia="SimSun" w:cs="SimSun"/>
                <w:color w:val="000000"/>
                <w:sz w:val="24"/>
                <w:u w:val="single"/>
              </w:rPr>
              <w:t xml:space="preserve">分（北京时间）前以书面形式提交至江苏三省管理咨询有限公司。</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江苏三省管理咨询有限公司招标代理部</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u w:val="single"/>
              </w:rPr>
              <w:t xml:space="preserve">13338001821</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江苏三省管理咨询有限公司湖塘镇人民中路</w:t>
            </w:r>
            <w:r>
              <w:rPr>
                <w:rFonts w:ascii="Times New Roman" w:hAnsi="Times New Roman" w:eastAsia="Times New Roman" w:cs="Times New Roman"/>
                <w:color w:val="000000"/>
                <w:sz w:val="24"/>
                <w:u w:val="single"/>
              </w:rPr>
              <w:t xml:space="preserve">708</w:t>
            </w:r>
            <w:r>
              <w:rPr>
                <w:rFonts w:ascii="SimSun" w:hAnsi="SimSun" w:eastAsia="SimSun" w:cs="SimSun"/>
                <w:color w:val="000000"/>
                <w:sz w:val="24"/>
                <w:u w:val="single"/>
              </w:rPr>
              <w:t xml:space="preserve">号。</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4"/>
              </w:rPr>
              <w:t xml:space="preserve">成交供应商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SimSun" w:hAnsi="SimSun" w:eastAsia="SimSun" w:cs="SimSun"/>
                <w:color w:val="000000"/>
                <w:sz w:val="24"/>
                <w:u w:val="single"/>
              </w:rPr>
              <w:t xml:space="preserve">以中标（成交）金额为基数，收费比例按差额定率累进法计算：</w:t>
            </w:r>
            <w:r>
              <w:rPr>
                <w:rFonts w:ascii="Times New Roman" w:hAnsi="Times New Roman" w:eastAsia="Times New Roman" w:cs="Times New Roman"/>
                <w:color w:val="000000"/>
                <w:sz w:val="24"/>
                <w:u w:val="single"/>
              </w:rPr>
              <w:t xml:space="preserve">100</w:t>
            </w:r>
            <w:r>
              <w:rPr>
                <w:rFonts w:ascii="SimSun" w:hAnsi="SimSun" w:eastAsia="SimSun" w:cs="SimSun"/>
                <w:color w:val="000000"/>
                <w:sz w:val="24"/>
                <w:u w:val="single"/>
              </w:rPr>
              <w:t xml:space="preserve">万元以下</w:t>
            </w:r>
            <w:r>
              <w:rPr>
                <w:rFonts w:ascii="Times New Roman" w:hAnsi="Times New Roman" w:eastAsia="Times New Roman" w:cs="Times New Roman"/>
                <w:color w:val="000000"/>
                <w:sz w:val="24"/>
                <w:u w:val="single"/>
              </w:rPr>
              <w:t xml:space="preserve">1.5%</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100</w:t>
            </w:r>
            <w:r>
              <w:rPr>
                <w:rFonts w:ascii="SimSun" w:hAnsi="SimSun" w:eastAsia="SimSun" w:cs="SimSun"/>
                <w:color w:val="000000"/>
                <w:sz w:val="24"/>
                <w:u w:val="single"/>
              </w:rPr>
              <w:t xml:space="preserve">万元（含）―</w:t>
            </w:r>
            <w:r>
              <w:rPr>
                <w:rFonts w:ascii="Times New Roman" w:hAnsi="Times New Roman" w:eastAsia="Times New Roman" w:cs="Times New Roman"/>
                <w:color w:val="000000"/>
                <w:sz w:val="24"/>
                <w:u w:val="single"/>
              </w:rPr>
              <w:t xml:space="preserve">500</w:t>
            </w:r>
            <w:r>
              <w:rPr>
                <w:rFonts w:ascii="SimSun" w:hAnsi="SimSun" w:eastAsia="SimSun" w:cs="SimSun"/>
                <w:color w:val="000000"/>
                <w:sz w:val="24"/>
                <w:u w:val="single"/>
              </w:rPr>
              <w:t xml:space="preserve">万元</w:t>
            </w:r>
            <w:r>
              <w:rPr>
                <w:rFonts w:ascii="Times New Roman" w:hAnsi="Times New Roman" w:eastAsia="Times New Roman" w:cs="Times New Roman"/>
                <w:color w:val="000000"/>
                <w:sz w:val="24"/>
                <w:u w:val="single"/>
              </w:rPr>
              <w:t xml:space="preserve">0.8%</w:t>
            </w:r>
            <w:r>
              <w:rPr>
                <w:rFonts w:ascii="SimSun" w:hAnsi="SimSun" w:eastAsia="SimSun" w:cs="SimSun"/>
                <w:color w:val="000000"/>
                <w:sz w:val="24"/>
                <w:u w:val="single"/>
              </w:rPr>
              <w:t xml:space="preserve">。如按上述方法计算的金额低于人民币</w:t>
            </w:r>
            <w:r>
              <w:rPr>
                <w:rFonts w:ascii="Times New Roman" w:hAnsi="Times New Roman" w:eastAsia="Times New Roman" w:cs="Times New Roman"/>
                <w:color w:val="000000"/>
                <w:sz w:val="24"/>
                <w:u w:val="single"/>
              </w:rPr>
              <w:t xml:space="preserve">3000</w:t>
            </w:r>
            <w:r>
              <w:rPr>
                <w:rFonts w:ascii="SimSun" w:hAnsi="SimSun" w:eastAsia="SimSun" w:cs="SimSun"/>
                <w:color w:val="000000"/>
                <w:sz w:val="24"/>
                <w:u w:val="single"/>
              </w:rPr>
              <w:t xml:space="preserve">元整，则服务费按人民币</w:t>
            </w:r>
            <w:r>
              <w:rPr>
                <w:rFonts w:ascii="Times New Roman" w:hAnsi="Times New Roman" w:eastAsia="Times New Roman" w:cs="Times New Roman"/>
                <w:color w:val="000000"/>
                <w:sz w:val="24"/>
                <w:u w:val="single"/>
              </w:rPr>
              <w:t xml:space="preserve">3000</w:t>
            </w:r>
            <w:r>
              <w:rPr>
                <w:rFonts w:ascii="SimSun" w:hAnsi="SimSun" w:eastAsia="SimSun" w:cs="SimSun"/>
                <w:color w:val="000000"/>
                <w:sz w:val="24"/>
                <w:u w:val="single"/>
              </w:rPr>
              <w:t xml:space="preserve">元整计取。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w:t>
            </w:r>
            <w:r>
              <w:rPr>
                <w:rFonts w:ascii="SimSun" w:hAnsi="SimSun" w:eastAsia="SimSun" w:cs="SimSun"/>
                <w:color w:val="000000"/>
                <w:sz w:val="24"/>
                <w:u w:val="single"/>
              </w:rPr>
              <w:t xml:space="preserve">领取成交通知书之前</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注：中标人在签订合同前需递交与电子响应文件内容一致的纸质响应文件叁份。</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w:t>
      </w:r>
      <w:r/>
    </w:p>
    <w:p>
      <w:pPr>
        <w:pStyle w:val="723"/>
        <w:ind w:left="0" w:right="0" w:firstLine="0"/>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u w:val="none"/>
        </w:rPr>
        <w:tab/>
      </w:r>
      <w:r>
        <w:rPr>
          <w:rFonts w:ascii="SimSun" w:hAnsi="SimSun" w:eastAsia="SimSun" w:cs="SimSun"/>
          <w:b/>
          <w:color w:val="000000"/>
          <w:sz w:val="28"/>
          <w:u w:val="none"/>
        </w:rPr>
        <w:t xml:space="preserve">一说明</w:t>
      </w:r>
      <w:r>
        <w:rPr>
          <w:rFonts w:ascii="Times New Roman" w:hAnsi="Times New Roman" w:eastAsia="Times New Roman" w:cs="Times New Roman"/>
          <w:b/>
          <w:color w:val="000000"/>
          <w:sz w:val="28"/>
        </w:rPr>
        <w:tab/>
      </w:r>
      <w:r/>
    </w:p>
    <w:p>
      <w:pPr>
        <w:numPr>
          <w:ilvl w:val="0"/>
          <w:numId w:val="13"/>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采购人、采购代理机构、供应商</w:t>
      </w:r>
      <w:r>
        <w:rPr>
          <w:rFonts w:ascii="SimSun" w:hAnsi="SimSun" w:eastAsia="SimSun" w:cs="SimSun"/>
          <w:color w:val="000000"/>
          <w:sz w:val="24"/>
        </w:rPr>
        <w:t xml:space="preserve">、联合体</w:t>
      </w:r>
      <w:r/>
    </w:p>
    <w:p>
      <w:pPr>
        <w:numPr>
          <w:ilvl w:val="1"/>
          <w:numId w:val="13"/>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采购人、采购代理机构：指依法进行政府采购的国家机关、事业单位、团体组织，及其委托的采购代理机构。本项目采购人、采购代理机构见第一章《采购邀请》。</w:t>
      </w:r>
      <w:r/>
    </w:p>
    <w:p>
      <w:pPr>
        <w:numPr>
          <w:ilvl w:val="1"/>
          <w:numId w:val="13"/>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供应商（也称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申请人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）：指向采购人提供货物、工程或者服务的法人、其他组织或者自然人。</w:t>
      </w:r>
      <w:r/>
    </w:p>
    <w:p>
      <w:pPr>
        <w:numPr>
          <w:ilvl w:val="1"/>
          <w:numId w:val="13"/>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13"/>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或本项目采购中无法与财政性资金分割的非财政性资金。</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项目属性见《供应商须知资料表》。</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是否属于科研仪器设备采购见《供应商须知资料表》。</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现场考察、磋商前答疑会</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若《供应商须知资料表》中规定了组织现场考察、召开磋商前答疑会，则供应商应按要求在规定的时间和地点参加。</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3"/>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13"/>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号）、《国务院关于进一步促进中小企业发展的若干意见》（国发〔</w:t>
      </w:r>
      <w:r>
        <w:rPr>
          <w:rFonts w:ascii="Times New Roman" w:hAnsi="Times New Roman" w:eastAsia="Times New Roman" w:cs="Times New Roman"/>
          <w:color w:val="000000"/>
          <w:sz w:val="24"/>
        </w:rPr>
        <w:t xml:space="preserve">2009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 </w:t>
      </w:r>
      <w:r>
        <w:rPr>
          <w:rFonts w:ascii="SimSun" w:hAnsi="SimSun" w:eastAsia="SimSun" w:cs="SimSun"/>
          <w:color w:val="000000"/>
          <w:sz w:val="24"/>
        </w:rPr>
        <w:t xml:space="preserve">号）。</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供应商提供的货物、工程或者服务符合下列情形的，享受中小企业扶持政策：</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）在工程采购项目中，工程由中小企业承建，即工程施工单位为中小企业；</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依法与安置的每位残疾人签订了一年以上（含一年）的劳动合同或服务协议；</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4"/>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本项目是否专门面向中小企业预留采购份额见第一章《采购邀请》。</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采购标的对应的中小企业划分标准所属行业见《供应商须知资料表》。</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小微企业价格评审优惠的政策调整：见第三章《评审方法和评审标准》。</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 </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非政府强制采购的节能产品或环境标志产品，依据品目清单和认证证书实施政府优先采购。优先采购的具体规定见第三章《评审方法和评审标准》（如涉及）。</w:t>
      </w:r>
      <w:r/>
    </w:p>
    <w:p>
      <w:pPr>
        <w:numPr>
          <w:ilvl w:val="2"/>
          <w:numId w:val="13"/>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13"/>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号）有关要求，做好支持脱贫攻坚工作，本项目采购活动中对于支持乡村振兴管理的相关要求见第四章《采购需求》（如涉及）。</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国家发展改革委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信息产业部关于印发无线局域网产品政府采购实施意见的通知》（财库〔</w:t>
      </w:r>
      <w:r>
        <w:rPr>
          <w:rFonts w:ascii="Times New Roman" w:hAnsi="Times New Roman" w:eastAsia="Times New Roman" w:cs="Times New Roman"/>
          <w:color w:val="000000"/>
          <w:sz w:val="24"/>
        </w:rPr>
        <w:t xml:space="preserve">2005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366 </w:t>
      </w:r>
      <w:r>
        <w:rPr>
          <w:rFonts w:ascii="SimSun" w:hAnsi="SimSun" w:eastAsia="SimSun" w:cs="SimSun"/>
          <w:color w:val="000000"/>
          <w:sz w:val="24"/>
        </w:rPr>
        <w:t xml:space="preserve">号），采购无线局域网产品和含有无线局域网功能的计算机、通信设备、打印机、复印机、投影仪等产品的，优先采购符合国家无线局域网安全标准（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无线局域网认证产品政府采购清单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（以下简称清单）的形式公布。清单中新增认证产品厂商和型号，由财政部、国家发展改革委、信息产业部以文件形式确定、公布并适时调整。</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eastAsia="Times New Roman" w:cs="Times New Roman"/>
          <w:color w:val="000000"/>
          <w:sz w:val="24"/>
        </w:rPr>
        <w:t xml:space="preserve">2006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号）、《国务院办公厅关于进一步做好政府机关使用正版软件工作的通知》（国办发〔</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47 </w:t>
      </w:r>
      <w:r>
        <w:rPr>
          <w:rFonts w:ascii="SimSun" w:hAnsi="SimSun" w:eastAsia="SimSun" w:cs="SimSun"/>
          <w:color w:val="000000"/>
          <w:sz w:val="24"/>
        </w:rPr>
        <w:t xml:space="preserve">号）、《财政部关于进一步做好政府机关使用正版软件工作的通知》（财预〔</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536 </w:t>
      </w:r>
      <w:r>
        <w:rPr>
          <w:rFonts w:ascii="SimSun" w:hAnsi="SimSun" w:eastAsia="SimSun" w:cs="SimSun"/>
          <w:color w:val="000000"/>
          <w:sz w:val="24"/>
        </w:rPr>
        <w:t xml:space="preserve">号）。</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13"/>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年内视同已具备相应销售业绩，参加政府采购活动时业绩分值为满分。</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4.7 </w:t>
      </w:r>
      <w:r>
        <w:rPr>
          <w:rFonts w:ascii="SimSun" w:hAnsi="SimSun" w:eastAsia="SimSun" w:cs="SimSun"/>
          <w:color w:val="000000"/>
          <w:sz w:val="24"/>
        </w:rPr>
        <w:t xml:space="preserve">绿色采购政策</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4.7.1  </w:t>
      </w:r>
      <w:r>
        <w:rPr>
          <w:rFonts w:ascii="SimSun" w:hAnsi="SimSun" w:eastAsia="SimSun" w:cs="SimSun"/>
          <w:b/>
          <w:color w:val="000000"/>
          <w:sz w:val="24"/>
        </w:rPr>
        <w:t xml:space="preserve">绿色数据中心政策 </w:t>
      </w:r>
      <w:r/>
    </w:p>
    <w:p>
      <w:pPr>
        <w:ind w:left="1856"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4.7.2 推广应用绿色建材</w:t>
      </w:r>
      <w:r/>
    </w:p>
    <w:p>
      <w:pPr>
        <w:ind w:left="1856"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号）总体要求，落实《绿色建筑和绿色建材政府采购需求标准》（财库〔</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35 </w:t>
      </w:r>
      <w:r>
        <w:rPr>
          <w:rFonts w:ascii="SimSun" w:hAnsi="SimSun" w:eastAsia="SimSun" w:cs="SimSun"/>
          <w:color w:val="000000"/>
          <w:sz w:val="24"/>
        </w:rPr>
        <w:t xml:space="preserve">号）和《政府采购支持绿色建材促进建筑品质提升政策项目实施指南》（财办库〔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号）,依据相关需求标准确定采购需求，在采购文件和采购合同中载明具体需求、履约验收条款和违约责任。</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4.7.3 优先使用低挥发性有机化合物产品</w:t>
      </w:r>
      <w:r/>
    </w:p>
    <w:p>
      <w:pPr>
        <w:ind w:left="1856"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4.8电子履约保函政策</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为进一步优化政府采购营商环境，规范我省政府采购履约保证金管理，持续降低供应商参与政府采购成本，根据国家发展改革委、工业和信息化部、财政部等《关于做好</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年降成本重点工作的通知》（发改运行〔</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645</w:t>
      </w:r>
      <w:r>
        <w:rPr>
          <w:rFonts w:ascii="SimSun" w:hAnsi="SimSun" w:eastAsia="SimSun" w:cs="SimSun"/>
          <w:color w:val="000000"/>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   政府采购中实施本国产品标准及相关政策</w:t>
      </w:r>
      <w:r/>
    </w:p>
    <w:p>
      <w:pPr>
        <w:ind w:left="1856"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号）。在填写《关于符合本国产品标准的声明函》时，如未提供声明函、信息填写错误、未完整填报或不符合《关于在政府采购中实施本国产品标准及相关政策的通知》要求的，则会导致报价不作相应扣除。</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响应费用</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供应商应自行承担所有与准备和参加磋商有关的费用，无论磋商的结果如何，采购人或采购代理机构在任何情况下均无承担这些费用的义务和责任。</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pStyle w:val="723"/>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竞争性磋商文件构</w:t>
      </w:r>
      <w:r>
        <w:rPr>
          <w:rFonts w:ascii="SimSun" w:hAnsi="SimSun" w:eastAsia="SimSun" w:cs="SimSun"/>
          <w:color w:val="000000"/>
          <w:sz w:val="24"/>
        </w:rPr>
        <w:t xml:space="preserve">成</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竞争性磋商文件包括以下部分：</w:t>
      </w:r>
      <w:r/>
    </w:p>
    <w:p>
      <w:pPr>
        <w:numPr>
          <w:ilvl w:val="0"/>
          <w:numId w:val="15"/>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numPr>
          <w:ilvl w:val="0"/>
          <w:numId w:val="15"/>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15"/>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numPr>
          <w:ilvl w:val="0"/>
          <w:numId w:val="15"/>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15"/>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15"/>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3"/>
        </w:numPr>
        <w:jc w:val="both"/>
        <w:spacing w:before="0" w:after="0" w:line="85" w:lineRule="atLeast"/>
        <w:tabs>
          <w:tab w:val="left" w:pos="900" w:leader="none"/>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对竞争性磋商文件的澄清或修改</w:t>
      </w:r>
      <w:r/>
    </w:p>
    <w:p>
      <w:pPr>
        <w:numPr>
          <w:ilvl w:val="1"/>
          <w:numId w:val="13"/>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采购人或采购代理机构对已发出的竞争性磋商文件进行必要澄清或者修改的，将在在“江苏省政府采购网”、“常州市政府采购网”上发布更正公告的形式通知所有获取磋商文件的供应商。</w:t>
      </w:r>
      <w:r/>
    </w:p>
    <w:p>
      <w:pPr>
        <w:numPr>
          <w:ilvl w:val="1"/>
          <w:numId w:val="13"/>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日前，以更正公告形式通知所有获取磋商文件的潜在供应商；；不足上述时间的，将顺延提交响应文件的截止时间。</w:t>
      </w:r>
      <w:r/>
    </w:p>
    <w:p>
      <w:pPr>
        <w:ind w:left="1080" w:right="0" w:firstLine="0"/>
        <w:jc w:val="both"/>
        <w:spacing w:before="0" w:after="0" w:line="85" w:lineRule="atLeast"/>
        <w:tabs>
          <w:tab w:val="left" w:pos="1080" w:leader="none"/>
          <w:tab w:val="left" w:pos="156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 </w:t>
      </w:r>
      <w:r/>
    </w:p>
    <w:p>
      <w:pPr>
        <w:pStyle w:val="723"/>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响应范围、竞争性磋商文件中计量单位的使用</w:t>
      </w:r>
      <w:r>
        <w:rPr>
          <w:rFonts w:ascii="SimSun" w:hAnsi="SimSun" w:eastAsia="SimSun" w:cs="SimSun"/>
          <w:color w:val="000000"/>
          <w:sz w:val="24"/>
        </w:rPr>
        <w:t xml:space="preserve">及磋商语言</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除竞争性磋商文件有特殊要求外，本项目磋商所使用的计量单位，应采用中华人民共和国法定计量单位。</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w:t>
      </w:r>
      <w:r>
        <w:rPr>
          <w:rFonts w:ascii="SimSun" w:hAnsi="SimSun" w:eastAsia="SimSun" w:cs="SimSun"/>
          <w:color w:val="000000"/>
          <w:sz w:val="24"/>
        </w:rPr>
        <w:t xml:space="preserve">构成</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对于竞争性磋商文件中标记了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的文件和竞争性磋商文件未提供格式的内容，可由供应商自行编写。</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第三章《评审方法和评审标准》中涉及的证明文件。</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供应商认为应附的其他材料。</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报价</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所有响应均以人民币报价。</w:t>
      </w:r>
      <w:r/>
    </w:p>
    <w:p>
      <w:pPr>
        <w:numPr>
          <w:ilvl w:val="1"/>
          <w:numId w:val="1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rFonts w:ascii="Times New Roman" w:hAnsi="Times New Roman" w:eastAsia="Times New Roman" w:cs="Times New Roman"/>
          <w:color w:val="000000"/>
          <w:sz w:val="24"/>
        </w:rPr>
        <w:t xml:space="preserve"> </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按照竞争性磋商文件要求完成本项目的全部相关工程或服务费用。</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供应商不能提供任何有选择性或可调整的最终报价（竞争性磋商文件另有规定的除外），否则其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p>
      <w:pPr>
        <w:ind w:left="0" w:right="0" w:firstLine="3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响应文件应在本竞争性磋商文件《供应商须知资料表》中规定的响应有效期内保持有效，响应有效期少于竞争性磋商文件规定期限的，其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响应文件的签署</w:t>
      </w:r>
      <w:r>
        <w:rPr>
          <w:rFonts w:ascii="SimSun" w:hAnsi="SimSun" w:eastAsia="SimSun" w:cs="SimSun"/>
          <w:color w:val="000000"/>
          <w:sz w:val="24"/>
        </w:rPr>
        <w:t xml:space="preserve">、盖章</w:t>
      </w:r>
      <w:r/>
    </w:p>
    <w:p>
      <w:pPr>
        <w:numPr>
          <w:ilvl w:val="1"/>
          <w:numId w:val="1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竞争性磋商文件要求签字的内容（如授权委托书等），</w:t>
      </w:r>
      <w:r>
        <w:rPr>
          <w:rFonts w:ascii="SimSun" w:hAnsi="SimSun" w:eastAsia="SimSun" w:cs="SimSun"/>
          <w:color w:val="000000"/>
          <w:sz w:val="24"/>
        </w:rPr>
        <w:t xml:space="preserve">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竞争性磋商文件要求盖章的内容，一般通过投标文件编制工具加盖电子签章。</w:t>
      </w:r>
      <w:r/>
    </w:p>
    <w:p>
      <w:pPr>
        <w:ind w:left="357"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723"/>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提交</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本项目使用政府采购一体化平台“苏采云”。投标人根据招标文件及政府采购一体化平台“苏采云”供应商操作手册要求编制、生成并提交电子投标文件。</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采购人及采购代理机构拒绝接受通过政府采购一体化平台“苏采云”以外任何形式提交的投标文件。</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响应文件截止</w:t>
      </w:r>
      <w:r>
        <w:rPr>
          <w:rFonts w:ascii="SimSun" w:hAnsi="SimSun" w:eastAsia="SimSun" w:cs="SimSun"/>
          <w:color w:val="000000"/>
          <w:sz w:val="24"/>
        </w:rPr>
        <w:t xml:space="preserve">时间</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投标人应在招标文件要求提交投标文件截止时间前，将电子投标文件提交至政府采购一体化平台“苏采云”。</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响应文件的修改与撤回</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投标截止时间前，投标人可以通过政府采购一体化平台“苏采云”对所提交的投标文件进行补充、修改或者撤回。</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right="0" w:firstLine="0"/>
        <w:jc w:val="both"/>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23"/>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w:t>
      </w:r>
      <w:r>
        <w:rPr>
          <w:rFonts w:ascii="SimSun" w:hAnsi="SimSun" w:eastAsia="SimSun" w:cs="SimSun"/>
          <w:b/>
          <w:color w:val="000000"/>
          <w:sz w:val="28"/>
        </w:rPr>
        <w:t xml:space="preserve">评审</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响应文件的解密与开启</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采购人或采购代理机构将按竞争性磋商文件的规定，在响应文件提交截止时间的同一时间和竞争性磋商文件预先确定的地点开启响应文件。</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本项目开标采用不见面招投标模式，使用政府采购一体化平台“苏采云”在线进行开标。投标人应在规定的时间内对投标文件进行解密，因非系统原因导致的解密失败，视为</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家的，不予解密。</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本项目不公开报价。</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供应商须在开标前使用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在采购活动过程中出现以下情形，导致“政府采购一体化平台”“苏采云”系统无法正常运行，或者无法保证本项目采购活动的公平、公正和安全时，代理机构可以延缓或者暂停采购活动，情况严重的可以终止采购活动：</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平台系统发生故障而无法登录访问的；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平台系统应用或数据库出现错误，不能进行正常操作的；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平台系统发现严重安全漏洞，有潜在泄密危险的；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病毒发作导致平台系统不能进行正常操作的；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其他无法保证本次采购活动的公平、公正和安全的情况。</w:t>
      </w:r>
      <w:r/>
    </w:p>
    <w:p>
      <w:pPr>
        <w:ind w:left="0" w:right="0" w:firstLine="480"/>
        <w:jc w:val="both"/>
        <w:spacing w:before="0" w:after="0" w:line="85" w:lineRule="atLeast"/>
        <w:tabs>
          <w:tab w:val="left" w:pos="993"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磋商小组根据政府采购有关规定和本次采购项目的特点进行组建，并负责具体评审事务，独立履行职责。</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见第三章《评审方法和评审标准》。</w:t>
      </w:r>
      <w:r/>
    </w:p>
    <w:p>
      <w:pPr>
        <w:ind w:left="108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23"/>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确定成交供应商</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采购人将在收到评审报告后，从评审报告提出的成交候选供应商中，按照排序由高到低的原则确定成交供应商。成交候选人并列的，由采购人依法确定。</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成交公告与成交通知书</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采购人或采购代理机构将在成交供应商确定后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个工作日内，在“江苏省政府采购网”、“常州市政府采购网”发布成交结果公告，同时向成交供应商发出成交通知书，成交公告期限为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在采购中，出现下列情形之一的，采购人或采购代理机构将终止竞争性磋商采购活动，发布项目终止公告并说明原因，重新开展采购活动：</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因情况变化，不再符合规定的竞争性磋商采购方式适用情形的；</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市场竞争不充分的科研项目，以及需要扶持的科技成果转化项目，提交最终报价的供应商可以为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家；政府购买服务项目（含政府和社会资本合作项目），在采购过程中符合要求的供应商（社会资本）只有</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家的，竞争性磋商采购活动可以继续进行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的情形外，在采购过程中符合要求的供应商或者报价未超过采购预算的供应商不足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出现序号17.7的所述情形，情况严重且影响采购活动公平、公正性的。</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采购人与成交供应商将在成交通知书发出之日起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日内，按照磋商文件确定的合同文本以及采购标的、规格型号、采购金额、采购数量、技术和服务要求等事项签订政府采购合同。</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联合体获得成交资格的，联合体各方应当共同与采购人签订合同，就成交项目向采购人承担连带责任。</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SimSun" w:hAnsi="SimSun" w:eastAsia="SimSun" w:cs="SimSun"/>
          <w:b/>
          <w:color w:val="000000"/>
          <w:sz w:val="24"/>
        </w:rPr>
        <w:t xml:space="preserve">否则响应无效</w:t>
      </w:r>
      <w:r>
        <w:rPr>
          <w:rFonts w:ascii="SimSun" w:hAnsi="SimSun" w:eastAsia="SimSun" w:cs="SimSun"/>
          <w:color w:val="000000"/>
          <w:sz w:val="24"/>
        </w:rPr>
        <w:t xml:space="preserve">。成交供应商就采购项目和分包项目向采购人负责，分包供应商就分包项目承担责任。</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供应商对政府采购活动事项有疑问的，可依法提出询问，并按《供应商须知资料表》载明的形式送达采购人或采购代理机构。</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个工作日内作出答复，但答复的内容不得涉及商业秘密。</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供应商认为竞争性磋商文件、采购过程、成交结果使自己的权益受到损害的，可以在知道或者应知其权益受到损害之日起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个工作日内，由供应商派授权代表以书面形式向采购人、采购代理机构提出质疑。采购人、采购代理机构在收到质疑函后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个工作日内作出答复。</w:t>
      </w:r>
      <w:r>
        <w:rPr>
          <w:rFonts w:ascii="SimSun" w:hAnsi="SimSun" w:eastAsia="SimSun" w:cs="SimSun"/>
          <w:b/>
          <w:color w:val="000000"/>
          <w:sz w:val="24"/>
        </w:rPr>
        <w:t xml:space="preserve">因此凡是对磋商文件提出质疑的供应商，必须是依法获取磋商文件的供应商，请将合法获取磋商文件的证明材料</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即《投标供应商确认函》</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与质</w:t>
      </w:r>
      <w:r>
        <w:rPr>
          <w:rFonts w:ascii="SimSun" w:hAnsi="SimSun" w:eastAsia="SimSun" w:cs="SimSun"/>
          <w:b/>
          <w:color w:val="000000"/>
          <w:sz w:val="21"/>
        </w:rPr>
        <w:t xml:space="preserve">疑函一起递交，</w:t>
      </w:r>
      <w:r>
        <w:rPr>
          <w:rFonts w:ascii="SimSun" w:hAnsi="SimSun" w:eastAsia="SimSun" w:cs="SimSun"/>
          <w:b/>
          <w:color w:val="000000"/>
          <w:sz w:val="24"/>
        </w:rPr>
        <w:t xml:space="preserve">，否则不予受理。</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9" w:tooltip="http://gks.mof.gov.cn/ztztz/zhengfucaigouguanli/201802/t20180201_2804589.htm" w:history="1">
        <w:r>
          <w:rPr>
            <w:rStyle w:val="976"/>
            <w:rFonts w:ascii="Times New Roman" w:hAnsi="Times New Roman" w:eastAsia="Times New Roman" w:cs="Times New Roman"/>
            <w:color w:val="0000ee"/>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p>
    <w:p>
      <w:pPr>
        <w:numPr>
          <w:ilvl w:val="2"/>
          <w:numId w:val="13"/>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接收询问和质疑的联系部门、联系电话和通讯地址见《供应商须知资料表》。</w:t>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1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收费对象、收费标准及缴纳时间见《供应商须知资料表》。由成交供应商支付的，成交供应商须一次性向采购代理机构缴纳代理费，报价应包含代理费用。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第三章评审程序、评审方法和评审标准</w:t>
      </w:r>
      <w:r/>
    </w:p>
    <w:p>
      <w:pPr>
        <w:pStyle w:val="723"/>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一、评审程序</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ab/>
      </w:r>
      <w:r/>
    </w:p>
    <w:p>
      <w:pPr>
        <w:numPr>
          <w:ilvl w:val="0"/>
          <w:numId w:val="1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资格性检查和符合性审查</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《资格性检查要求》中对格式有要求的，除竞争性磋商文件另有规定外，均为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《资格性检查要求》见下表：</w:t>
      </w:r>
      <w:r/>
    </w:p>
    <w:p>
      <w:pPr>
        <w:ind w:left="1077" w:right="0" w:firstLine="265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4"/>
        <w:gridCol w:w="1819"/>
        <w:gridCol w:w="4426"/>
        <w:gridCol w:w="1503"/>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营业执照副本（事业单位法人证书）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营业执照副本和税务登记证副本(或“三证合一”的营业执照副本）或事业单位法人证书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72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法定代表人资格证明书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法人授权书、法定代表人身份证及被授权人身份证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《资格承诺声明函》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www.ccgp.gov.cn</w:t>
            </w:r>
            <w:r>
              <w:rPr>
                <w:rFonts w:ascii="SimSun" w:hAnsi="SimSun" w:eastAsia="SimSun" w:cs="SimSun"/>
                <w:color w:val="000000"/>
                <w:sz w:val="24"/>
              </w:rPr>
              <w:t xml:space="preserve">）；</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、截止时点：响应文件递交截止时间以后、资格审查阶段采购人或采购代理机构的实际查询时间；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、信用信息查询记录和证据留存具体方式：查询结果网页打印页作为查询记录和证据，与其他磋商文件一并保存；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响应无效。联合体形式参加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24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如采购公告中明确专门面向中小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小微企业采购，须按要求提供中小企业声明函；未专门面向中小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小微企业采购，此项无需提供。</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：监狱企业、残疾人福利性单位视同为小微企业。</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：监狱企业须提供由省级以上监狱管理局（常州市含教育矫治局）、戒毒管理局（含新疆生产建设兵团）出具的属于监狱企业的证明文件。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《中小企业声明函》、《残疾人福利性单位声明函》格式见《响应文件格式》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6"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、联合体各成员单位均须提供本表中序号第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、本表序号第</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项规定的其他特定资格要求中的每一小项要求，联合体各方中至少应当有一方符合本表中其他资格要求并提供证明文件。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、联合体中有同类资质的供应商按照联合体分工承担相同工作的，应当按照资质等级较低的供应商确定资质等级。</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、以联合体形式参加政府采购活动的，联合体各方不得再单独参加或者与其他供应商另外组成联合体参加同一合同项下的政府采购活动。</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、若联合体中任一成员单位中途退出，则该联合体的响应无效。</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、本项目不接受联合体谈判时，供应商不得为联合体。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《符合性审查要求》见下表：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68"/>
        <w:gridCol w:w="2268"/>
        <w:gridCol w:w="2268"/>
        <w:gridCol w:w="2268"/>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报价未超过最高限价（总价最高限价及单价最高限价）或预算价的；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的文件均按磋商文件要求提供；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响应文件满足磋商文件第五章《采购需求》中</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分包承担主体具备《供应商须知资料表》载明的资质条件且提供了资质证书电子件（如有）；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按磋商文件规定签订并提供分包意向协议原件的电子件的；（如有）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不涉及报价修正，或响应文件报价出现前后不一致时，供应商对修正后的报价予以确认；（如有）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实施政府采购异常低价审查的有关要求：具体按照财库〔</w:t>
            </w:r>
            <w:r>
              <w:rPr>
                <w:rFonts w:ascii="Times New Roman" w:hAnsi="Times New Roman" w:eastAsia="Times New Roman" w:cs="Times New Roman"/>
                <w:b/>
                <w:color w:val="000000"/>
                <w:sz w:val="24"/>
              </w:rPr>
              <w:t xml:space="preserve">2026</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号《关于推动解决政府采购异常低价问题的通知》要求：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（一）政府采购评审中出现下列情形之一的，评审委员会应当启动异常低价投标（响应）审查程序：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投标（响应）报价低于全部通过符合性审查供应商投标（响应）报价平均值</w:t>
            </w:r>
            <w:r>
              <w:rPr>
                <w:rFonts w:ascii="Times New Roman" w:hAnsi="Times New Roman" w:eastAsia="Times New Roman" w:cs="Times New Roman"/>
                <w:b/>
                <w:color w:val="000000"/>
                <w:sz w:val="24"/>
              </w:rPr>
              <w:t xml:space="preserve">50%</w:t>
            </w:r>
            <w:r>
              <w:rPr>
                <w:rFonts w:ascii="SimSun" w:hAnsi="SimSun" w:eastAsia="SimSun" w:cs="SimSun"/>
                <w:b/>
                <w:color w:val="000000"/>
                <w:sz w:val="24"/>
              </w:rPr>
              <w:t xml:space="preserve">的，即投标（响应）报价</w:t>
            </w:r>
            <w:r>
              <w:rPr>
                <w:rFonts w:ascii="Times New Roman" w:hAnsi="Times New Roman" w:eastAsia="Times New Roman" w:cs="Times New Roman"/>
                <w:b/>
                <w:color w:val="000000"/>
                <w:sz w:val="24"/>
              </w:rPr>
              <w:t xml:space="preserve">&lt;</w:t>
            </w:r>
            <w:r>
              <w:rPr>
                <w:rFonts w:ascii="SimSun" w:hAnsi="SimSun" w:eastAsia="SimSun" w:cs="SimSun"/>
                <w:b/>
                <w:color w:val="000000"/>
                <w:sz w:val="24"/>
              </w:rPr>
              <w:t xml:space="preserve">全部通过符合性审查供应商投标（响应）报价平均值×</w:t>
            </w:r>
            <w:r>
              <w:rPr>
                <w:rFonts w:ascii="Times New Roman" w:hAnsi="Times New Roman" w:eastAsia="Times New Roman" w:cs="Times New Roman"/>
                <w:b/>
                <w:color w:val="000000"/>
                <w:sz w:val="24"/>
              </w:rPr>
              <w:t xml:space="preserve">50%</w:t>
            </w:r>
            <w:r>
              <w:rPr>
                <w:rFonts w:ascii="SimSun" w:hAnsi="SimSun" w:eastAsia="SimSun" w:cs="SimSun"/>
                <w:b/>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投标（响应）报价低于通过符合性审查的次低报价供应商投标（响应）报价</w:t>
            </w:r>
            <w:r>
              <w:rPr>
                <w:rFonts w:ascii="Times New Roman" w:hAnsi="Times New Roman" w:eastAsia="Times New Roman" w:cs="Times New Roman"/>
                <w:b/>
                <w:color w:val="000000"/>
                <w:sz w:val="24"/>
              </w:rPr>
              <w:t xml:space="preserve">50%</w:t>
            </w:r>
            <w:r>
              <w:rPr>
                <w:rFonts w:ascii="SimSun" w:hAnsi="SimSun" w:eastAsia="SimSun" w:cs="SimSun"/>
                <w:b/>
                <w:color w:val="000000"/>
                <w:sz w:val="24"/>
              </w:rPr>
              <w:t xml:space="preserve">的，即投标（响应）报价</w:t>
            </w:r>
            <w:r>
              <w:rPr>
                <w:rFonts w:ascii="Times New Roman" w:hAnsi="Times New Roman" w:eastAsia="Times New Roman" w:cs="Times New Roman"/>
                <w:b/>
                <w:color w:val="000000"/>
                <w:sz w:val="24"/>
              </w:rPr>
              <w:t xml:space="preserve">&lt;</w:t>
            </w:r>
            <w:r>
              <w:rPr>
                <w:rFonts w:ascii="SimSun" w:hAnsi="SimSun" w:eastAsia="SimSun" w:cs="SimSun"/>
                <w:b/>
                <w:color w:val="000000"/>
                <w:sz w:val="24"/>
              </w:rPr>
              <w:t xml:space="preserve">通过符合性审查的次低报价供应商投标（响应）报价×</w:t>
            </w:r>
            <w:r>
              <w:rPr>
                <w:rFonts w:ascii="Times New Roman" w:hAnsi="Times New Roman" w:eastAsia="Times New Roman" w:cs="Times New Roman"/>
                <w:b/>
                <w:color w:val="000000"/>
                <w:sz w:val="24"/>
              </w:rPr>
              <w:t xml:space="preserve">50%</w:t>
            </w:r>
            <w:r>
              <w:rPr>
                <w:rFonts w:ascii="SimSun" w:hAnsi="SimSun" w:eastAsia="SimSun" w:cs="SimSun"/>
                <w:b/>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投标（响应）报价低于采购项目最高限价</w:t>
            </w:r>
            <w:r>
              <w:rPr>
                <w:rFonts w:ascii="Times New Roman" w:hAnsi="Times New Roman" w:eastAsia="Times New Roman" w:cs="Times New Roman"/>
                <w:b/>
                <w:color w:val="000000"/>
                <w:sz w:val="24"/>
              </w:rPr>
              <w:t xml:space="preserve">45%</w:t>
            </w:r>
            <w:r>
              <w:rPr>
                <w:rFonts w:ascii="SimSun" w:hAnsi="SimSun" w:eastAsia="SimSun" w:cs="SimSun"/>
                <w:b/>
                <w:color w:val="000000"/>
                <w:sz w:val="24"/>
              </w:rPr>
              <w:t xml:space="preserve">的，即投标（响应）报价</w:t>
            </w:r>
            <w:r>
              <w:rPr>
                <w:rFonts w:ascii="Times New Roman" w:hAnsi="Times New Roman" w:eastAsia="Times New Roman" w:cs="Times New Roman"/>
                <w:b/>
                <w:color w:val="000000"/>
                <w:sz w:val="24"/>
              </w:rPr>
              <w:t xml:space="preserve">&lt;</w:t>
            </w:r>
            <w:r>
              <w:rPr>
                <w:rFonts w:ascii="SimSun" w:hAnsi="SimSun" w:eastAsia="SimSun" w:cs="SimSun"/>
                <w:b/>
                <w:color w:val="000000"/>
                <w:sz w:val="24"/>
              </w:rPr>
              <w:t xml:space="preserve">采购项目最高限价×</w:t>
            </w:r>
            <w:r>
              <w:rPr>
                <w:rFonts w:ascii="Times New Roman" w:hAnsi="Times New Roman" w:eastAsia="Times New Roman" w:cs="Times New Roman"/>
                <w:b/>
                <w:color w:val="000000"/>
                <w:sz w:val="24"/>
              </w:rPr>
              <w:t xml:space="preserve">45%</w:t>
            </w:r>
            <w:r>
              <w:rPr>
                <w:rFonts w:ascii="SimSun" w:hAnsi="SimSun" w:eastAsia="SimSun" w:cs="SimSun"/>
                <w:b/>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采购人可以结合具体项目实际情况，提高上述第</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项至第</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项中启动异常低价投标（响应）审查的数值标准，但是最高不得超过</w:t>
            </w:r>
            <w:r>
              <w:rPr>
                <w:rFonts w:ascii="Times New Roman" w:hAnsi="Times New Roman" w:eastAsia="Times New Roman" w:cs="Times New Roman"/>
                <w:b/>
                <w:color w:val="000000"/>
                <w:sz w:val="24"/>
              </w:rPr>
              <w:t xml:space="preserve">65%</w:t>
            </w:r>
            <w:r>
              <w:rPr>
                <w:rFonts w:ascii="SimSun" w:hAnsi="SimSun" w:eastAsia="SimSun" w:cs="SimSun"/>
                <w:b/>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相关法律法规对供应商报价有规定的，从其规定。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（二）评审委员会启动异常低价投标（响应）审查后，属于前述第</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项至第</w:t>
            </w: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分钟。其中，属于第</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项情形，供应商已随投标（响应）文件一并提交相关书面说明及必要的证明材料的，在评审现场可不再重复提交。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磋商文件不接受进口产品响应的内容时，供应商所投产品非进口产品的；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国家有关部门对供应商的响应产品有强制性规定或要求的，供应商的响应产品应符合相应规定或要求，并提供证明文件电子件：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）采购的产品若属于《节能产品政府采购品目清单》范围中政府强制采购产品，则供应商所报产品必须获得国家确定的认证机构出具的、处于有效期之内的节能产品认证证书；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相应文件未含有采购人不能接受的附加条件的；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numPr>
          <w:ilvl w:val="0"/>
          <w:numId w:val="1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磋商、响应文件有关事项的澄清、说明或者更正和最终报价</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磋商小组所有成员应当集中与单一供应商分别进行磋商，并给予所有参加磋商的供应商平等的磋商机会。</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对磋商文件作出的实质性变动是磋商文件的有效组成部分，磋商小组应当及时通过常州市政府采购业务管理平台系统以书面形式同时通知所有参加磋商的供应商。</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响应文件的澄清、说明或者更正：</w:t>
      </w:r>
      <w:r/>
    </w:p>
    <w:p>
      <w:pPr>
        <w:ind w:left="1080"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磋商小组会将通过常州市政府采购业务管理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磋商结束后，磋商小组将要求所有实质性响应的供应商在规定时间内通过常州市政府采购业务管理平台系统提交最终报价</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磋商文件能够详细列明采购标的的技术、服务要求的，磋商结束后，磋商小组应当要求所有实质性响应的供应商在规定时间内提交最终报价，提交最终报价的供应商不得少于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家。磋商文件不能详细列明采购标的的技术、服务要求，需经磋商由供应商提供最终设计方案或解决方案的，磋商结束后，磋商小组应当按照少数服从多数的原则投票推荐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家以上供应商的设计方案或者解决方案，并要求其在规定时间内提交最终报价。市场竞争不充分的科研项目，以及需要扶持的科技成果转化项目，提交最终报价的供应商可以为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家；政府购买服务项目（含政府和社会资本合作项目），在采购过程中符合要求的供应商（社会资本）只有</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家的，竞争性磋商采购活动可以继续进行。</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最终报价是供应商响应文件的有效组成部分。</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已提交响应文件的供应商，在提交最终报价之前，可以根据磋商情况退出磋商。</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磋商报价次数：按《供应商须知资料表》规定，如有多轮报价，合同总价按照最终报价同比例下浮。</w:t>
      </w:r>
      <w:r/>
    </w:p>
    <w:p>
      <w:pPr>
        <w:numPr>
          <w:ilvl w:val="0"/>
          <w:numId w:val="1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最终报价的算术修正及政策调整</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最终报价须包含竞争性磋商文件全部内容。磋商小组有权要求供应商在评审现场合理的时间内对此进行书面确认，供应商不确认的，视为将一个采购包中的内容拆开响应，其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最终报价出现前后不一致的，按照下列规定修正：</w:t>
      </w:r>
      <w:r/>
    </w:p>
    <w:p>
      <w:pPr>
        <w:numPr>
          <w:ilvl w:val="2"/>
          <w:numId w:val="16"/>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竞争性磋商文件对于报价修正是否另有规定：</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有，具体规定为：</w:t>
      </w:r>
      <w:r>
        <w:rPr>
          <w:rFonts w:ascii="Times New Roman" w:hAnsi="Times New Roman" w:eastAsia="Times New Roman" w:cs="Times New Roman"/>
          <w:color w:val="000000"/>
          <w:sz w:val="24"/>
        </w:rPr>
        <w:t xml:space="preserve">___________</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■无，按下述</w:t>
      </w:r>
      <w:r>
        <w:rPr>
          <w:rFonts w:ascii="Times New Roman" w:hAnsi="Times New Roman" w:eastAsia="Times New Roman" w:cs="Times New Roman"/>
          <w:color w:val="000000"/>
          <w:sz w:val="24"/>
        </w:rPr>
        <w:t xml:space="preserve">3.2.2-3.2.5</w:t>
      </w:r>
      <w:r>
        <w:rPr>
          <w:rFonts w:ascii="SimSun" w:hAnsi="SimSun" w:eastAsia="SimSun" w:cs="SimSun"/>
          <w:color w:val="000000"/>
          <w:sz w:val="24"/>
        </w:rPr>
        <w:t xml:space="preserve">项规定修正。</w:t>
      </w:r>
      <w:r/>
    </w:p>
    <w:p>
      <w:pPr>
        <w:numPr>
          <w:ilvl w:val="2"/>
          <w:numId w:val="16"/>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16"/>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单价金额小数点或者百分比有明显错位的，以最终报价一览表的总价为准，并修改单价；</w:t>
      </w:r>
      <w:r/>
    </w:p>
    <w:p>
      <w:pPr>
        <w:numPr>
          <w:ilvl w:val="2"/>
          <w:numId w:val="16"/>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16"/>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同时出现两种以上不一致的，按照前款规定的顺序修正。修正后的报价经供应商书面确认后产生约束力，供应商不确认的，</w:t>
      </w:r>
      <w:r>
        <w:rPr>
          <w:rFonts w:ascii="SimSun" w:hAnsi="SimSun" w:eastAsia="SimSun" w:cs="SimSun"/>
          <w:b/>
          <w:color w:val="000000"/>
          <w:sz w:val="24"/>
        </w:rPr>
        <w:t xml:space="preserve">其响应无效</w:t>
      </w:r>
      <w:r>
        <w:rPr>
          <w:rFonts w:ascii="SimSun" w:hAnsi="SimSun" w:eastAsia="SimSun" w:cs="SimSun"/>
          <w:color w:val="000000"/>
          <w:sz w:val="24"/>
        </w:rPr>
        <w:t xml:space="preserve">。</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落实政府采购政策的价格调整：只有符合第二章《供应商须知》</w:t>
      </w: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条规定情形的，可以享受中小企业扶持政策，用扣除后的价格参加评审；否则，评审时价格不予扣除。</w:t>
      </w:r>
      <w:r/>
    </w:p>
    <w:p>
      <w:pPr>
        <w:numPr>
          <w:ilvl w:val="2"/>
          <w:numId w:val="16"/>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的扣除，用扣除后的价格参加评审。</w:t>
      </w:r>
      <w:r/>
    </w:p>
    <w:p>
      <w:pPr>
        <w:numPr>
          <w:ilvl w:val="2"/>
          <w:numId w:val="16"/>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w:t>
      </w:r>
      <w:r>
        <w:rPr>
          <w:rFonts w:ascii="Times New Roman" w:hAnsi="Times New Roman" w:eastAsia="Times New Roman" w:cs="Times New Roman"/>
          <w:color w:val="000000"/>
          <w:sz w:val="24"/>
        </w:rPr>
        <w:t xml:space="preserve"> 30%</w:t>
      </w:r>
      <w:r>
        <w:rPr>
          <w:rFonts w:ascii="SimSun" w:hAnsi="SimSun" w:eastAsia="SimSun" w:cs="SimSun"/>
          <w:color w:val="000000"/>
          <w:sz w:val="24"/>
        </w:rPr>
        <w:t xml:space="preserve">以上的联合体或者大中型企业的报价给予</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的扣除，用扣除后的价格参加评审。</w:t>
      </w:r>
      <w:r/>
    </w:p>
    <w:p>
      <w:pPr>
        <w:numPr>
          <w:ilvl w:val="2"/>
          <w:numId w:val="16"/>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16"/>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16"/>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中小企业参加政府采购活动，应当按照竞争性磋商文件给定的格式出具《中小企业声明函》，否则不得享受相关中小企业扶持政策。</w:t>
      </w:r>
      <w:r/>
    </w:p>
    <w:p>
      <w:pPr>
        <w:numPr>
          <w:ilvl w:val="2"/>
          <w:numId w:val="16"/>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16"/>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残疾人福利性单位按竞争性磋商文件要求提供了《残疾人福利性单位声明函》（见附件）的，视同小微企业。</w:t>
      </w:r>
      <w:r/>
    </w:p>
    <w:p>
      <w:pPr>
        <w:numPr>
          <w:ilvl w:val="2"/>
          <w:numId w:val="16"/>
        </w:numPr>
        <w:jc w:val="both"/>
        <w:spacing w:before="0" w:after="0" w:line="85" w:lineRule="atLeast"/>
        <w:tabs>
          <w:tab w:val="left" w:pos="1080" w:leader="none"/>
          <w:tab w:val="left" w:pos="1589" w:leader="none"/>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若供应商同时属于小型或微型企业、监狱企业、残疾人福利性单位中的两种及以上，将不重复享受小微企业价格扣减的优惠政策。</w:t>
      </w:r>
      <w:r/>
    </w:p>
    <w:p>
      <w:pPr>
        <w:numPr>
          <w:ilvl w:val="2"/>
          <w:numId w:val="16"/>
        </w:numPr>
        <w:jc w:val="both"/>
        <w:spacing w:before="0" w:after="0" w:line="85" w:lineRule="atLeast"/>
        <w:tabs>
          <w:tab w:val="left" w:pos="1080" w:leader="none"/>
          <w:tab w:val="left" w:pos="1589" w:leader="none"/>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其他为落实政府采购政策实施的优先采购：</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0"/>
          <w:numId w:val="1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供应商对实质性变动不予确认的；</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不满足磋商文件</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号条款或磋商文件技术指标超出磋商文件《采购需求》中主要技术参数允许偏差的最大范围的（如有）；</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未按照磋商小组规定的时间、逾期提交最终报价的；</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如供应商的最终报价超过竞争性磋商文件中规定的项目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采购包最高限价的；</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响应文件中出现可选择性或可调整的报价的（竞争性磋商文件另有规定的除外）；</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最终报价出现前后不一致，供应商对修正后的报价不予确认的；</w:t>
      </w:r>
      <w:r/>
    </w:p>
    <w:p>
      <w:pPr>
        <w:numPr>
          <w:ilvl w:val="1"/>
          <w:numId w:val="16"/>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0"/>
          <w:numId w:val="1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竞争性磋商文件中没有规定的评审标准不得作为评审依据。</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0"/>
          <w:numId w:val="1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成交候选人名单</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ascii="Times New Roman" w:hAnsi="Times New Roman" w:eastAsia="Times New Roman" w:cs="Times New Roman"/>
          <w:color w:val="000000"/>
          <w:sz w:val="24"/>
        </w:rPr>
        <w:t xml:space="preserve"> </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磋商小组根据上述供应商排序，依次推荐排序前</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名的供应商为成交候选供应商（若在磋商文件允许的情形下提交最终报价的供应商为二家，则依次推荐二名供应商为成交候选供应商），并编写评审报告。</w:t>
      </w:r>
      <w:r/>
    </w:p>
    <w:p>
      <w:pPr>
        <w:numPr>
          <w:ilvl w:val="1"/>
          <w:numId w:val="16"/>
        </w:numPr>
        <w:jc w:val="both"/>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numPr>
          <w:ilvl w:val="0"/>
          <w:numId w:val="16"/>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16"/>
        </w:numPr>
        <w:spacing w:before="0" w:after="0" w:line="85" w:lineRule="atLeast"/>
        <w:tabs>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磋商小组在评审过程中发现供应商有行贿、提供虚假材料或者串通等违法行为时，有向采购人、采购代理机构或者有关部门报告的职责。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政府采购中实施本国产品标准及相关政策：</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、当采购项目中既有本国产品又有非本国产品参与竞争的，供应商为该采购项目提供的符合本国产品标准的产品成本之和占该供应商提供的全部产品成本之和的比例达到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以上时（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为确保产品在运输或者储存期间保持某种状态而进行的操作；</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为产品运输或者销售进行的包装或者展示；</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在产品或者其包装上粘贴或者印刷品牌、标志、标识以及其他用于区别的标记；</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简单的上漆、磨光和分装；</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其他不属于属性改变的情形。），依法对该供应商提供的全部产品的总报价给予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的价格扣除，用扣除后的价格参与评审。供应商未填写比例数值，或比例数值未达到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的，将不享受本国产品价格评审优惠。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、供应商需按照招标文件的要求提供《关于符合本国产品标准的声明函》（以下简称《声明函》），如不提供将不享受本国产品价格评审优惠。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ind w:left="0" w:right="0" w:firstLine="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br w:type="page" w:clear="all"/>
      </w:r>
      <w:r/>
    </w:p>
    <w:p>
      <w:pPr>
        <w:pStyle w:val="723"/>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二、评审标准</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7"/>
        <w:gridCol w:w="1200"/>
        <w:gridCol w:w="5820"/>
        <w:gridCol w:w="725"/>
      </w:tblGrid>
      <w:tr>
        <w:trPr>
          <w:trHeight w:val="3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448"/>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一、报价（30分）</w:t>
            </w:r>
            <w:r/>
          </w:p>
        </w:tc>
      </w:tr>
      <w:tr>
        <w:trPr>
          <w:trHeight w:val="1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满足招标文件要求且报价（即1-优惠率）最低的报价为评标基准价，其价格分为满分。其他投标人的价格分统一按照下列公式计算：价格分得分＝（评标基准价/投标报价）×分值。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注：此处报价指经过报价修正后的报价。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28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二、履约能力（26分）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投标人自2023年1月1日以来（以合同签订日期为准）承担过类似项目的，有一个得5分，最高得10分。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注：提供合同作为证明材料。电子投标文件中提供合同的原件或复印件，扫描形成的电子文档，加盖投标人公章，否则不得分。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项目组成员</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1.拟投入本项目的项目组成员中具有中级及以上工程师职称的，有1人得3分，最高得6分。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2.拟投入本项目的项目组成员中具有安全员证书、施工员证书、材料员证书、质量员证书、资料员证书的，有一个得2分，最高得10分。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注：投标文件中提供相关证书及2025年12月至2026年2月中任意一个月投标人为上述人员缴纳的社保证明并加盖投标人公章，否则不得分。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28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三、服务方案（44分）</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总体概述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评标委员会根据投标人提供的总体概述（包括：工程概况、施工组织总体设想、方案的针对性及施工段的划分等）进行综合评审。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（1）方案先进、完整，主导工程内容、施工方法明确、详尽、合理，能完全满足项目实施要求，得8分；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（2）方案较先进，主导工程内容、施工方法明确、详尽、合理，能基本满足项目实施要求，得6分；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（3）方案内容较简单，对项目实施要求响应一般，得4分；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（4）方案内容较差、无针对性，得2分；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（5）全不符合招标文件要求或未提供方案的不得分。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评标委员会根据投标人为本项目制定的实施方案进行综合评审。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（1）方案完整，能完全满足项目实施要求，得8分；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（2）方案较具体，能基本满足项目实施要求，得6分；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（3）方案内容较简单，对项目实施要求响应一般，得4分；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（4）方案内容较差、无针对性，得2分；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（5）全不符合招标文件要求或未提供方案的不得分。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进度、质量保证措施方案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评标委员会根据投标人为本项目制定的进度、质量保证措施方案进行综合评审。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（1）措施方案完整，能完全满足项目实施要求，得8分；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（2）措施方案较具体，能基本满足项目实施要求，得6分；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（3）措施方案内容较简单，对项目实施要求响应一般，得4分；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（4）措施方案内容较差、无针对性，得2分；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（5）全不符合招标文件要求或未提供方案的不得分。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劳动力、机械设备和材料投入计划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评标委员会根据投标人为本项目制定的劳动力、机械设备和材料投入计划进行综合评审。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（1）计划方案完整，能完全满足项目实施要求，得8分；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（2）计划方案较具体，能基本满足项目实施要求，得6分；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（3）计划方案内容较简单，对项目实施要求响应一般，得4分；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（4）计划方案内容较差、无针对性，得2分；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（5）全不符合招标文件要求或未提供方案的不得分。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关键施工技术、工艺及工程项目实施的重点、难点和解决方案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评标委员会根据投标人提供的关键施工技术、工艺及工程项目实施的重点、难点和解决方案进行综合评审。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（1）方案完整，能完全满足项目实施要求，得8分；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（2）方案较具体，能基本满足项目实施要求，得6分；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（3）方案内容较简单，对项目实施要求响应一般，得4分；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（4）方案内容较差、无针对性，得2分；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（5）全不符合招标文件要求或未提供方案的不得分。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后期服务方案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评标委员会根据投标人为本项目制定的后期服务方案进行综合评审。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（1）服务方案内容精细详尽，针对性强得4分；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（2）服务方案内容较完整，针对性较强得3分；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（3）服务方案内容基本完整，针对性一般得2分；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（4）服务方案内容不够完整，没有针对性得1分；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（5）全不符合招标文件要求或未提供方案的不得分。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注：1.评分细则中要求提供的证明文件及资料等在投标文件中提供并加盖公章，否则不得分。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2.评审时，未能按以上要求提供相应证明的，不作为评审依据，不得分。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1.项目内容：</w:t>
      </w:r>
      <w:r>
        <w:rPr>
          <w:rFonts w:ascii="SimSun" w:hAnsi="SimSun" w:eastAsia="SimSun" w:cs="SimSun"/>
          <w:color w:val="000000"/>
          <w:sz w:val="24"/>
        </w:rPr>
        <w:t xml:space="preserve">服务内容主要为遥观镇道路路面修补、灌缝及相关配套设施修复等。</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2.项目地点：常州市遥观镇内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合同签订7个工作日内支付合同价10%预付款，工程竣工至2026年农历春节前付工程审定价的40%；2027年农历春节前付至工程审定价的70%；2028年农历春节前结清余款。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（1）在合同期间，采购人有权根据维修任务量大小、质量维修情况的及时性、特殊情况来进行相应调整，中标人必须无条件接受。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（2）在合同期间，采购人认为维修材料需要更换的，中标人须无条件接受更换。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（3）施工现场需要放置警示标志的，应放置警示标志；如由于中标人原因在施工过程中造成办公区域、行人发生损害的，由中标人自行负责。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2.维修时限要求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（1）采购人安排的维修计划中标人均需在要求时间内完成。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（2）采购人发出的指令单中标人必须按要求及时全面的执行，否则按500元/次向采购人支付违约金。在接到采购人通知后半小时内响应，4小时内上门进行维修。由于中标人原因引起延误，每延误24小时罚500元/天。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有施工造成的维修质量问题，采购人应书面通知中标人并约定时间进行整改。中标人未按约定时间及时维修，采购人有权扣除维修费1000元-2000元/次作为中标人向采购人支付的违约金。如果中标人在服务过程中连续三次未按采购人要求整改，采购人有权解除合同，并不免除中标人应支付的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（4）采购人下达的抢修任务，中标人均应在规定时限内进行安排实施。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（5）采购人安排的突击整治等工作，中标人均应在要求时限内完成。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（6）采购人有权根据上级要求适时调整维修期限，中标人必须无条件服从。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人不按采购人关于工程质量、工程维修进度等要求施工维修的，在经过采购人一次书面警告后，仍不能按采购人要求进行维修施工时，采购人有权终止中标人的维修施工权，并有权安排其他施工维修单位接手中标人的施工维修工程，中标人按中止施工前的工程量进行结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3.安全、文明施工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（1）执行国家有关安全施工的规定，建立健全安全保证体系。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（2）对施工操作人员进行安全教育，使施工人员对所使用的材料性能及安全措施有较全面的了解，并在操作中严格执行劳动保护制度。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（3）高空作业时，必须佩带安全帽，系好安全绳，禁止酒后作业。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（4）施工范围应做到工完、料尽、场地清。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（5）建立完善的施工现场安全组织结构，明确岗位、职责，在施工中出现的一切安全事故，由中标人自行解决，并承担由此产生的一切责任。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4.工作程序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（1）采购人电话通知中标人维修。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（2）中标人领取维修通知单。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（3）中标人带着维修单上门悬挂“设施维修中”维修标志牌，并开始维修。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（4）维修过程和维修结束，中标人均应拍照留存。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（5）维修结束，中标人带上维修单和施工照片交给采购人相关部门验收并签字确认。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（6）送交采购人复核。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按照《政府采购促进中小企业发展管理办法》（财库〔2020〕46号）的相关要求，采购人应当面向中小企业预留采购份额，本项目面向中小企业预留份额</w:t>
      </w:r>
      <w:r>
        <w:rPr>
          <w:rFonts w:ascii="SimSun" w:hAnsi="SimSun" w:eastAsia="SimSun" w:cs="SimSun"/>
          <w:color w:val="000000"/>
          <w:sz w:val="24"/>
          <w:u w:val="single"/>
        </w:rPr>
        <w:t xml:space="preserve"> 100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四、采用的主要技术规范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1.本工程采用的主要技术规范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本项目依据《GB50500-2013 建设工程工程量清单计价规范》、《江苏省建筑与装饰工程计价表2014版》、《江苏省安装工程计价表2014版》、《江苏省建设工程费用定额2014版》、《江苏省市政工程计价定额》（2014版）等、常建（2014）279号文件【常州市关于贯彻《建设工程工程量清单计价规范》（GB50500-2013）等国家标准和省2014年建筑与装饰、安装、市政等专业工程计价定额及费用定额的通知】、苏建价(2014)448号文件【省住房城乡建设厅关于《建设工程工程量清单计价规范》（GB50500</w:t>
      </w:r>
      <w:r>
        <w:rPr>
          <w:rFonts w:ascii="SimSun" w:hAnsi="SimSun" w:eastAsia="SimSun" w:cs="SimSun"/>
          <w:color w:val="000000"/>
          <w:sz w:val="24"/>
        </w:rPr>
        <w:t xml:space="preserve">-2013）及其9本工程量计算规范的贯彻意见】、省住房城乡建设厅关于建筑业实施营改增后江苏省建设工程计价依据调整的通知（苏建价[2016]154号）、关于转发《省住房城乡建设厅关于建筑业实施营改增后江苏省建设工程计价依据调整的通知》的通知（常建〔2016〕94号）、《江苏省房屋修缮工程计价表》（2014年）等规范、文件和要求进行计价；工程类别：建筑工程按三类工程，安装工程按三类工程，修缮工程按三类工程；人工费按施工当月政策性文件计算（其中装饰工程人工工资指导价取中计算）及工程施工期间政府相关政策性指导文件计</w:t>
      </w:r>
      <w:r>
        <w:rPr>
          <w:rFonts w:ascii="SimSun" w:hAnsi="SimSun" w:eastAsia="SimSun" w:cs="SimSun"/>
          <w:color w:val="000000"/>
          <w:sz w:val="24"/>
        </w:rPr>
        <w:t xml:space="preserve">取；材料价格采用施工期间常州市信息指导价（除税指导价），指导价中未包括的价格由中标人提出，经采购人审核后按市场价格确定。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执行苏建价（2016）154号《省住房城乡建设厅关于建筑业实施营改增后江苏省建设工程计价依据调整的通知》和常建【2016】94号《关于转发《省住房城乡建设厅关于建筑业实施营改增后江苏省建设工程计价依据调整的通知》的通知》，本工程计价已按一般计税法计价。由于国家税收“营改增”实施，涉及影响工程造价的，请各供应商自行考虑投标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本工程的所有材料、设备必须符合有关规范、规定的质量要求。且所有材料及设备的品牌、规格型号、色号、产地、生产产家、参数、性能、价格等均须征求采购人同意。即中标人对用于本工程的所有材料及设备的品牌、规格型号、色号、产地、生产产家、参数、性能、价格等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以上相关法规规范，若有更新，均以最新版为准。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2.对材料的质量、试验及施工工艺的要求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按国家、省、市现行文件和标准规定。</w:t>
      </w:r>
      <w:r/>
    </w:p>
    <w:p>
      <w:pPr>
        <w:ind w:left="0" w:right="21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3.按市现行文件和标准规定执行。</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五、结算原则</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本项目依据《GB50500-2013 建设工程工程量清单计价规范》、《江苏省建筑与装饰工程计价表2014版》、《江苏省安装工程计价表2014版》、《江苏省建设工程费用定额2014版》、《江苏省市政工程计价定额》（2014版）等、常建（2014）279号文件【常州市关于贯彻《建设工程工程量清单计价规范》（GB50500-2013）等国家标准和省2014年建筑与装饰、安装、市政等专业工程计价定额及费用定额的通知】、苏建价(2014)448号文件【省住房城乡建设厅关于《建设工程工程量清单计价规范》（GB50500</w:t>
      </w:r>
      <w:r>
        <w:rPr>
          <w:rFonts w:ascii="SimSun" w:hAnsi="SimSun" w:eastAsia="SimSun" w:cs="SimSun"/>
          <w:color w:val="000000"/>
          <w:sz w:val="24"/>
        </w:rPr>
        <w:t xml:space="preserve">-2013）及其9本工程量计算规范的贯彻意见】、省住房城乡建设厅关于建筑业实施营改增后江苏省建设工程计价依据调整的通知（苏建价[2016]154号）、关于转发《省住房城乡建设厅关于建筑业实施营改增后江苏省建设工程计价依据调整的通知》的通知（常建〔2016〕94号）、《江苏省房屋修缮工程计价表》（2014年）等规范、文件和要求进行计价；工程类别：建筑工程按三类工程，安装工程按三类工程，修缮工程按三类工程；计价表人工费按施工当月政策性文件计算（其中装饰工程人工工资指导价取中计算）及工程施工期间政府相关政策性指导</w:t>
      </w:r>
      <w:r>
        <w:rPr>
          <w:rFonts w:ascii="SimSun" w:hAnsi="SimSun" w:eastAsia="SimSun" w:cs="SimSun"/>
          <w:color w:val="000000"/>
          <w:sz w:val="24"/>
        </w:rPr>
        <w:t xml:space="preserve">文件计取；材料价格采用施工期间常州市信息指导价（除税指导价），指导价中未包括的价格由中标人提出，经采购人审核后按市场价格确定。</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执行苏建价（2016）154号《省住房城乡建设厅关于建筑业实施营改增后江苏省建设工程计价依据调整的通知》和常建【2016】94号《关于转发《省住房城乡建设厅关于建筑业实施营改增后江苏省建设工程计价依据调整的通知》的通知》，本工程计价已按一般计税法计价。由于国家税收“营改增”实施，涉及影响工程造价的，请各供应商自行考虑投标风险。</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工程材料、机械、设备使用费按照施工期间信息指导价的平均价计算（无信息指导价的由双方协商确认）；人工工资按施工当月政策性文件计算，其中装饰工程人工工资指导价取中计算。</w:t>
      </w:r>
      <w:r/>
    </w:p>
    <w:p>
      <w:pPr>
        <w:ind w:left="0" w:right="21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套用定额的部分，经第三方审定后，进行结算，结算价=审定价*（1-中标优惠率）。</w:t>
      </w:r>
      <w:r/>
    </w:p>
    <w:p>
      <w:pPr>
        <w:ind w:left="0" w:right="21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不能套取定额的部分，价格由采购人、审计、中标人三方确认后，进行结算。</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六、报价方式</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本项目报价为</w:t>
      </w:r>
      <w:r>
        <w:rPr>
          <w:rFonts w:ascii="SimSun" w:hAnsi="SimSun" w:eastAsia="SimSun" w:cs="SimSun"/>
          <w:b/>
          <w:color w:val="000000"/>
          <w:spacing w:val="2"/>
          <w:sz w:val="24"/>
        </w:rPr>
        <w:t xml:space="preserve">固定</w:t>
      </w:r>
      <w:r>
        <w:rPr>
          <w:rFonts w:ascii="SimSun" w:hAnsi="SimSun" w:eastAsia="SimSun" w:cs="SimSun"/>
          <w:b/>
          <w:color w:val="000000"/>
          <w:sz w:val="24"/>
        </w:rPr>
        <w:t xml:space="preserve">优惠率</w:t>
      </w:r>
      <w:r>
        <w:rPr>
          <w:rFonts w:ascii="SimSun" w:hAnsi="SimSun" w:eastAsia="SimSun" w:cs="SimSun"/>
          <w:color w:val="000000"/>
          <w:spacing w:val="2"/>
          <w:sz w:val="24"/>
        </w:rPr>
        <w:t xml:space="preserve">，投标报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报价货币为人民币，评审时以人民币为准。</w:t>
      </w:r>
      <w:r/>
    </w:p>
    <w:p>
      <w:pPr>
        <w:ind w:left="0" w:right="0" w:firstLine="47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第五章合同草案条款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采购人（以下称甲方）:                       </w:t>
      </w:r>
      <w:r>
        <w:rPr>
          <w:rFonts w:ascii="SimSun" w:hAnsi="SimSun" w:eastAsia="SimSun" w:cs="SimSun"/>
          <w:color w:val="000000"/>
          <w:sz w:val="24"/>
        </w:rPr>
        <w:t xml:space="preserve">合同编号：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中标人（以下称乙方）:                       </w:t>
      </w:r>
      <w:r>
        <w:rPr>
          <w:rFonts w:ascii="SimSun" w:hAnsi="SimSun" w:eastAsia="SimSun" w:cs="SimSun"/>
          <w:color w:val="000000"/>
          <w:sz w:val="24"/>
        </w:rPr>
        <w:t xml:space="preserve">签订地点：</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 </w:t>
      </w:r>
      <w:r>
        <w:rPr>
          <w:rFonts w:ascii="SimSun" w:hAnsi="SimSun" w:eastAsia="SimSun" w:cs="SimSun"/>
          <w:color w:val="000000"/>
          <w:sz w:val="24"/>
          <w:u w:val="single"/>
        </w:rPr>
        <w:t xml:space="preserve">    年月日</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甲乙双方依据《中华人民共和国民法典》以及有关法律、法规的规定，经协商一致，订立本合同，以便共同遵守。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第1条  工程概况</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w:t>
      </w:r>
      <w:r>
        <w:rPr>
          <w:rFonts w:ascii="SimSun" w:hAnsi="SimSun" w:eastAsia="SimSun" w:cs="SimSun"/>
          <w:color w:val="000000"/>
          <w:sz w:val="24"/>
          <w:u w:val="single"/>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2.项目地点：</w:t>
      </w:r>
      <w:r>
        <w:rPr>
          <w:rFonts w:ascii="SimSun" w:hAnsi="SimSun" w:eastAsia="SimSun" w:cs="SimSun"/>
          <w:color w:val="000000"/>
          <w:sz w:val="24"/>
          <w:u w:val="single"/>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3.承包范围：</w:t>
      </w:r>
      <w:r>
        <w:rPr>
          <w:rFonts w:ascii="SimSun" w:hAnsi="SimSun" w:eastAsia="SimSun" w:cs="SimSun"/>
          <w:color w:val="000000"/>
          <w:sz w:val="24"/>
          <w:u w:val="single"/>
        </w:rPr>
        <w:t xml:space="preserve">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4.承包方式:</w:t>
      </w:r>
      <w:r>
        <w:rPr>
          <w:rFonts w:ascii="SimSun" w:hAnsi="SimSun" w:eastAsia="SimSun" w:cs="SimSun"/>
          <w:color w:val="000000"/>
          <w:sz w:val="24"/>
          <w:u w:val="single"/>
        </w:rPr>
        <w:t xml:space="preserve"> 包工包料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5.服务期限：</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年。</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6.质保期：</w:t>
      </w:r>
      <w:r>
        <w:rPr>
          <w:rFonts w:ascii="SimSun" w:hAnsi="SimSun" w:eastAsia="SimSun" w:cs="SimSun"/>
          <w:color w:val="000000"/>
          <w:sz w:val="24"/>
          <w:u w:val="single"/>
        </w:rPr>
        <w:t xml:space="preserve"> 2年。</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7.项目质量：</w:t>
      </w:r>
      <w:r>
        <w:rPr>
          <w:rFonts w:ascii="SimSun" w:hAnsi="SimSun" w:eastAsia="SimSun" w:cs="SimSun"/>
          <w:color w:val="000000"/>
          <w:sz w:val="24"/>
          <w:u w:val="single"/>
        </w:rPr>
        <w:t xml:space="preserve"> 按国家相关验收标准，一次性验收合格。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8.合同价款:</w:t>
      </w:r>
      <w:r>
        <w:rPr>
          <w:rFonts w:ascii="SimSun" w:hAnsi="SimSun" w:eastAsia="SimSun" w:cs="SimSun"/>
          <w:color w:val="000000"/>
          <w:sz w:val="24"/>
          <w:u w:val="single"/>
        </w:rPr>
        <w:t xml:space="preserve"> 优惠率%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第2条  甲方工作</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1.开工前向乙方提供相关资料或向乙方进行现场交底。向乙方提供施工所需的水、电、气及电讯等设备，并说明使用注意事项。办理施工所涉及的各种申请、批件等手续。</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2.指派各部门相关人员为各自部门的代表，负责合同履行。对工程质量、进度进行监督检查，办理验收、变更、登记手续和其他事宜。</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3.如确实需要拆改原建筑物结构或设备管线，负责到有关部门办理相应审批手续。</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4.协调有关部门做好现场保卫、消防等工作。</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5.在合同期间，甲方有权根据维修任务量大小、质量维修情况的及时性、特殊情况来进行相应调整。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第3条  乙方工作</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1.参加甲方组织的施工图纸或作法说明的现场交底，拟定施工方案和进度计划，交甲方审定。按照甲方要求的工作程序进行工作。</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2.指派</w:t>
      </w:r>
      <w:r>
        <w:rPr>
          <w:rFonts w:ascii="SimSun" w:hAnsi="SimSun" w:eastAsia="SimSun" w:cs="SimSun"/>
          <w:color w:val="000000"/>
          <w:sz w:val="24"/>
          <w:u w:val="single"/>
        </w:rPr>
        <w:t xml:space="preserve">      </w:t>
      </w:r>
      <w:r>
        <w:rPr>
          <w:rFonts w:ascii="SimSun" w:hAnsi="SimSun" w:eastAsia="SimSun" w:cs="SimSun"/>
          <w:color w:val="000000"/>
          <w:sz w:val="24"/>
        </w:rPr>
        <w:t xml:space="preserve">为乙方驻工地代表，负责合同履行。按要求组织施工，保质、保量、按期完成施工任务，解决由乙方负责的各项事宜。</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3.严格执行施工规范、安全操作规程、防火安全规定。严格按照图纸或作法说明进行施工，做好各项质量检查记录。参加竣工验收，编制工程结算。</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4.服从甲方合理合法管理，按甲方要求，配合做好施工进度、施工质量监管及材料进场验收（不限于以上内容）等一切与施工有关的监管工作。</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遵守国家或地方政府及有关部门对施工现场管理的规定，妥善保护好施工现场周围建筑物、设备管线、古树名木不受损坏。做好施工现场保卫和垃圾清理等工作，处理好由于施工带来的扰民问题及与周围单位（居民）的关系。</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6.施工中未经甲方同意或有关部门批准，不得随便拆改原建筑物结构及各种设备管线。</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7.工程竣工未移交甲方之前，负责对现场的一切设施和工程成品进行保护。</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8.乙方无条件接受甲方根据维修任务量大小、质量维修情况的及时性、特殊情况进行的相应调整。</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9.乙方更换甲方认为需要更换的维修材料。</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10.乙方在规定时限内安排实施甲方下达的抢修任务。</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11.乙方在要求时限内完成甲方安排的突击整治等工作。</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12.乙方无条件服从甲方根据上级要求适时调整维修期限。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第4条  关于工期的约定</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1.因甲方未按约定完成工作，影响工期，工期顺延。</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2.因乙方责任，不能按期开工或中途无故停工，影响工期，工期不得顺延。</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3.因变更或非乙方原因造成的停电、停水、停气及不可抗力因素，导致停工8小时以上（一周内累计计算），工期相应顺延。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第5条  关于工程质量及验收的约定</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1.本工程以施工图纸、作法说明、变更和《建筑工程施工质量验收统一标准》（GB50300——2013）、《建筑装饰装修工程施工质量验收规范》（GB50210——2011）等国家制订的施工及验收规范为质量评定验收标准。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2.本工程质量应达到国家质量评定</w:t>
      </w:r>
      <w:r>
        <w:rPr>
          <w:rFonts w:ascii="SimSun" w:hAnsi="SimSun" w:eastAsia="SimSun" w:cs="SimSun"/>
          <w:color w:val="000000"/>
          <w:sz w:val="24"/>
          <w:u w:val="single"/>
        </w:rPr>
        <w:t xml:space="preserve">  合格</w:t>
      </w:r>
      <w:r>
        <w:rPr>
          <w:rFonts w:ascii="SimSun" w:hAnsi="SimSun" w:eastAsia="SimSun" w:cs="SimSun"/>
          <w:color w:val="000000"/>
          <w:sz w:val="24"/>
        </w:rPr>
        <w:t xml:space="preserve">标准。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4.乙方负责采购的材料，应严格按招标文件要求采购,并提供产品合格证明,对材料质量负责。乙方采购的材料在使用前,应按照甲方或监理的要求进行检验或试验,不合格的不得使用,检验或试验费用由乙方承担。</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5.由于乙方原因造成质量事故，其损失及费用由乙方承担，工期不顺延。</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6.工程竣工后，乙方应通知甲方验收，甲方自接到验收通知日内组织验收，并办理验收、移交手续。如甲方在规定时间内未能组织验收，需及时通知乙方，另定验收日期。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第6条  关于工程价款及结算的约定</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1.本项目依据《GB50500-2013 建设工程工程量清单计价规范》、《江苏省建筑与装饰工程计价表2014版》、《江苏省安装工程计价表2014版》、《江苏省建设工程费用定额2014版》、《江苏省市政工程计价定额》（2014版）等、常建（2014）279号文件【常州市关于贯彻《建设工程工程量清单计价规范》（GB50500-2013）等国家标准和省2014年建筑与装饰、安装、市政等专业工程计价定额及费用定额的通知】、苏建价(2014)448号文件【省住房城乡建设厅关于《建设工程工程量清单计价规范》（GB505</w:t>
      </w:r>
      <w:r>
        <w:rPr>
          <w:rFonts w:ascii="SimSun" w:hAnsi="SimSun" w:eastAsia="SimSun" w:cs="SimSun"/>
          <w:color w:val="000000"/>
          <w:sz w:val="24"/>
        </w:rPr>
        <w:t xml:space="preserve">00-2013）及其9本工程量计算规范的贯彻意见】、省住房城乡建设厅关于建筑业实施营改增后江苏省建设工程计价依据调整的通知（苏建价[2016]154号）、关于转发《省住房城乡建设厅关于建筑业实施营改增后江苏省建设工程计价依据调整的通知》的通知（常建〔2016〕94号）、《江苏省房屋修缮工程计价表》（2014年）等规范、文件和要求进行计价；工程类别：建筑工程按三类工程，安装工程按三类工程，修缮工程按三类工程；计价表人工费按施工当月政策性文件计算（其中装饰工程人工工资指导价取中计算）及工程施工期间政府相关政策性</w:t>
      </w:r>
      <w:r>
        <w:rPr>
          <w:rFonts w:ascii="SimSun" w:hAnsi="SimSun" w:eastAsia="SimSun" w:cs="SimSun"/>
          <w:color w:val="000000"/>
          <w:sz w:val="24"/>
        </w:rPr>
        <w:t xml:space="preserve">指导文件计取；材料价格采用施工期间常州市信息指导价（除税指导价），指导价中未包括的价格由乙方提出，经甲方审核后按市场价格确定。</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执行苏建价（2016）154号《省住房城乡建设厅关于建筑业实施营改增后江苏省建设工程计价依据调整的通知》和常建【2016】94号《关于转发《省住房城乡建设厅关于建筑业实施营改增后江苏省建设工程计价依据调整的通知》的通知》，本工程计价已按一般计税法计价。由于国家税收“营改增”实施，涉及影响工程造价的，请各供应商自行考虑投标风险。</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工程材料、机械、设备使用费按照施工期间信息指导价的平均价计算（无信息指导价的由双方协商确认）；人工工资按施工当月政策性文件计算，其中装饰工程人工工资指导价取中计算。</w:t>
      </w:r>
      <w:r/>
    </w:p>
    <w:p>
      <w:pPr>
        <w:ind w:left="0" w:right="0" w:firstLine="4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套用定额的部分，经第三方审定后，进行结算，结算价=审定价*（1-中标优惠率）。</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不能套取定额的部分，价格由甲方、审计、乙方三方确认后，进行结算。</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2.本合同生效后，按以下约定支付工程款：</w:t>
      </w:r>
      <w:r>
        <w:rPr>
          <w:rFonts w:ascii="SimSun" w:hAnsi="SimSun" w:eastAsia="SimSun" w:cs="SimSun"/>
          <w:b/>
          <w:color w:val="000000"/>
          <w:sz w:val="24"/>
        </w:rPr>
        <w:t xml:space="preserve">合同签订7个工作日内支付合同价10%预付款，工程竣工至2026年农历春节前付工程审定价的40%；2027年农历春节前付至工程审定价的70%；2028年农历春节前结清余款。</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3.工程竣工验收后，乙方提出工程结算并将有关资料送交甲方。由甲方将相关的工程结算资料报相关业务处，实施工程结算审计，并作为最终决算的依据。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第7条  关于材料供应的约定</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由于乙方保管不当造成损失，由乙方负责赔偿。</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2.凡由乙方采购的材料、设备，如不符合质量要求或规格差异，应禁止使用。若已使用，对工程造成的损失由乙方负责。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第8条  有关安全生产和防火的约定</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1.甲方提供的施工图纸或作法说明，应符合《中华人民共和国消防条例》和有关防火设计规范。</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2.乙方在施工期间应严格遵守《建筑安装工程安全技术规程》、《建筑安装工人安全操作规程》、《中华人民共和国消防条例》和其他相关的法规、规范。</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3.由于乙方在施工生产过程中违反有关安全操作规程、消防条例，导致发生安全或火灾事故，乙方应承担由此引发的一切经济损失。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4.安全、文明施工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（1）执行国家有关安全施工的规定，建立健全安全保证体系。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（2）对施工操作人员进行安全教育，使施工人员对所使用的材料性能及安全措施有较全面的了解，并在操作中严格执行劳动保护制度。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（3）高空作业时，必须佩带安全帽，系好安全绳，禁止酒后作业。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（4）施工范围应做到工完、料尽、场地清。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（5）建立完善的施工现场安全组织结构，明确岗位、职责，在施工中出现的一切安全事故，由乙方自行解决，并承担由此产生的一切责任。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第9条  奖励和违约责任</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过程中甲方将对乙方采购使用的材料进行抽检，如检验结果材料不合格，严禁使用，检验或试验费用由乙方承担。未经甲方批准，乙方擅自使用品牌、规格、技术参数等与甲方要求不相符的材料，该材料所涉及的分项目将不予验收结算；并做返工处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2.由于甲方原因导致延期开工或中途停工，工期顺延。</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3.由于乙方原因，逾期竣工，每逾期一天，乙方支付甲方</w:t>
      </w:r>
      <w:r>
        <w:rPr>
          <w:rFonts w:ascii="SimSun" w:hAnsi="SimSun" w:eastAsia="SimSun" w:cs="SimSun"/>
          <w:color w:val="000000"/>
          <w:sz w:val="24"/>
          <w:u w:val="single"/>
        </w:rPr>
        <w:t xml:space="preserve">     </w:t>
      </w:r>
      <w:r>
        <w:rPr>
          <w:rFonts w:ascii="SimSun" w:hAnsi="SimSun" w:eastAsia="SimSun" w:cs="SimSun"/>
          <w:color w:val="000000"/>
          <w:sz w:val="24"/>
        </w:rPr>
        <w:t xml:space="preserve">元滞纳金，第8天起每天支付</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4.甲方发出的指令单乙方必须按要求及时全面的执行，否则按500元/次向甲方支付违约金。</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5.乙方应在接到甲方通知后</w:t>
      </w:r>
      <w:r>
        <w:rPr>
          <w:rFonts w:ascii="SimSun" w:hAnsi="SimSun" w:eastAsia="SimSun" w:cs="SimSun"/>
          <w:color w:val="000000"/>
          <w:sz w:val="24"/>
          <w:u w:val="single"/>
        </w:rPr>
        <w:t xml:space="preserve">       </w:t>
      </w:r>
      <w:r>
        <w:rPr>
          <w:rFonts w:ascii="SimSun" w:hAnsi="SimSun" w:eastAsia="SimSun" w:cs="SimSun"/>
          <w:color w:val="000000"/>
          <w:sz w:val="24"/>
        </w:rPr>
        <w:t xml:space="preserve">小时内响应，</w:t>
      </w:r>
      <w:r>
        <w:rPr>
          <w:rFonts w:ascii="SimSun" w:hAnsi="SimSun" w:eastAsia="SimSun" w:cs="SimSun"/>
          <w:color w:val="000000"/>
          <w:sz w:val="24"/>
          <w:u w:val="single"/>
        </w:rPr>
        <w:t xml:space="preserve">        </w:t>
      </w:r>
      <w:r>
        <w:rPr>
          <w:rFonts w:ascii="SimSun" w:hAnsi="SimSun" w:eastAsia="SimSun" w:cs="SimSun"/>
          <w:color w:val="000000"/>
          <w:sz w:val="24"/>
        </w:rPr>
        <w:t xml:space="preserve">小时内上门进行维修。由于乙方原因引起延误，每延误24小时罚500元/天。</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若有施工造成的维修质量问题，甲方应书面通知乙方并约定时间进行整改。乙方未按约定时间及时维修，甲方有权扣除维修费1000元-2000元/次作为乙方向甲方支付的违约金。如果乙方在服务过程中连续三次未按甲方要求整改，甲方有权解除合同，并不免除乙方应支付的违约金。</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不按甲方关于工程质量、工程维修进度等要求施工维修的，在经过甲方一次书面警告后，仍不能按甲方要求进行维修施工时，甲方有权终止乙方的维修施工权，并有权安排其他施工维修单位接手乙方的施工维修工程，乙方按中止施工前的工程量进行结算。</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8.未经甲方同意，乙方擅自拆改原建筑物结构或设备管线，由此发生的损失或事故（包括罚款），由乙方负责并承担损失。</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9.因一方原因，合同无法继续履行时，应通知对方，办理合同终止协议，并由责任方赔偿对方由此造成的经济损失。</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10.项目安全生产的达标目标及相应事项的约定：</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（1）乙方在施工期间须针对周边情况做好防尘降噪工作，应遵守《中华人民共和国安全生产法》及地方政府和有关部门对施工场地交通、噪声、污水、现场环境卫生和场外污染等管理规定并办理有关手续。</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须做好文明施工、安全生产，在施工过程中应完善文明施工措施，在施工过程中造成的相应安全事故由乙方全部承担，同时协调处理好与当地居民、周边单位的关系，如发生问题均由乙方负责协调处理，并承担相应费用及后果，并且有义务消除对甲方的不利影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第10条  争议的解决方式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1.因履行本合同引起的或与本合同有关的争议，甲、乙双方应首先通过友好协商解决，如果协商不能解决争议，则采取以下第（1）种方式解决争议：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（1）向甲方所在地人民法院提起诉讼；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（2）向甲方所在地仲裁委员会按其仲裁规则申请仲裁。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如没有约定，默认采取第2种方式解决争议。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2.在法院审理和仲裁期间，除有争议部分外，本合同其他部分应继续履行。</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3.守约方于争议解决过程发生的费用（包括但不限于诉讼费、仲裁费、公证费、律师费、鉴定费、差旅费、保全费、担保费等），应由违约方承担。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第11条  其它约定:</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1.工程结算审计工作由甲方负责实施；如发生重大变更事项及超采购预算时，必须经甲方批准后方可实施。工程结算审定价超预算部分如无正常合法手续的，概不支付、结算。</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2.工程施工管理、竣工验收工作由甲方负责组织实施。</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3.乙方必须注意确保安全生产、文明施工；如发生违法乱纪及人身伤亡等事故，一切责任均由乙方负责并承担一切损失。</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4.补充图纸和指示：甲方有权向乙方发出任何图纸变更或指令，乙方应无条件遵照执行。其他未尽事宜详见招标文件、投标文件。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第12条  附则</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本合同保修期为</w:t>
      </w:r>
      <w:r>
        <w:rPr>
          <w:rFonts w:ascii="SimSun" w:hAnsi="SimSun" w:eastAsia="SimSun" w:cs="SimSun"/>
          <w:color w:val="000000"/>
          <w:sz w:val="24"/>
          <w:u w:val="single"/>
        </w:rPr>
        <w:t xml:space="preserve">   </w:t>
      </w:r>
      <w:r>
        <w:rPr>
          <w:rFonts w:ascii="SimSun" w:hAnsi="SimSun" w:eastAsia="SimSun" w:cs="SimSun"/>
          <w:color w:val="000000"/>
          <w:sz w:val="24"/>
        </w:rPr>
        <w:t xml:space="preserve">年。保修方法参照国家及地方相关规定执行。</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本合同一式肆份，甲方执贰份，乙方执贰份。</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本合同履行完成后自动终止。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第13条  诚实信用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乙方应诚实信用，严格按照招标文件要求和投标承诺履行合同，不向甲方进行商业贿赂或者提供不正当利益。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第14条  合同生效及其他</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本合同自经甲乙双方授权代表签订并加盖公章后，自签订之日起生效。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法定代表人：委托代理人：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法定代表人：委托代理人：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807"/>
        <w:jc w:val="both"/>
        <w:keepLines/>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第六章  响应文件的组成及提交须知</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0"/>
        <w:gridCol w:w="2414"/>
        <w:gridCol w:w="5831"/>
      </w:tblGrid>
      <w:tr>
        <w:trPr>
          <w:trHeight w:val="3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相应内容</w:t>
            </w:r>
            <w:r/>
          </w:p>
        </w:tc>
      </w:tr>
      <w:tr>
        <w:trPr>
          <w:trHeight w:val="2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vMerge w:val="restart"/>
            <w:textDirection w:val="lrTb"/>
            <w:noWrap w:val="false"/>
          </w:tcPr>
          <w:p>
            <w:pPr>
              <w:ind w:left="211" w:right="0" w:hanging="2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响应文件组 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响应文件格式材料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响应文件封面</w:t>
            </w:r>
            <w:r/>
          </w:p>
        </w:tc>
      </w:tr>
      <w:tr>
        <w:trPr>
          <w:trHeight w:val="23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*报价一览表</w:t>
            </w:r>
            <w:r/>
          </w:p>
        </w:tc>
      </w:tr>
      <w:tr>
        <w:trPr>
          <w:trHeight w:val="28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参加本项目人员一览表</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合同条款偏离表</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认为需要提供的其他证明材料</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资格证明文件格式材料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△营业执照或事业单位法人证书</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法定代表人资格证明书</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经“信用中国”网站查询未被列入信用记录失信被执行人、重大税收违法案件当事人名单、政府采购严重违法失信行为记录名单</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△信用承诺书</w:t>
            </w:r>
            <w:r/>
          </w:p>
        </w:tc>
      </w:tr>
      <w:tr>
        <w:trPr>
          <w:trHeight w:val="27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△资格承诺声明函</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△落实政府采购政策需满足的资格条件（详见第一章“采购邀请”）：</w:t>
            </w:r>
            <w:r>
              <w:rPr>
                <w:rFonts w:ascii="SimSun" w:hAnsi="SimSun" w:eastAsia="SimSun" w:cs="SimSun"/>
                <w:b/>
                <w:color w:val="000000"/>
                <w:sz w:val="21"/>
              </w:rPr>
              <w:t xml:space="preserve">如采购公告中明确专门面向中小</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小微企业采购，须按要求提供中小企业声明函</w:t>
            </w:r>
            <w:r/>
          </w:p>
        </w:tc>
      </w:tr>
      <w:tr>
        <w:trPr>
          <w:trHeight w:val="31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△特定资格条件（详见“第三章 资格审查”—“第二节 资格审查要求”）</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符合证明文件格式材料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*响应函</w:t>
            </w:r>
            <w:r/>
          </w:p>
        </w:tc>
      </w:tr>
      <w:tr>
        <w:trPr>
          <w:trHeight w:val="38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*采购需求偏离表</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*响应文件有效性(根据磋商文件要求填写,如磋商文件无相关要求,此条可不填写)</w:t>
            </w:r>
            <w:r/>
          </w:p>
        </w:tc>
      </w:tr>
      <w:tr>
        <w:trPr>
          <w:trHeight w:val="53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综合评审文件格式材料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采用综合评分法的项目，每项评分材料按第四章“评标方法和评标标准”评分细则中对应评分项目（或数字编号）分别上传。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响应文件提交须知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5" w:type="dxa"/>
            <w:vAlign w:val="top"/>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1.本部分内容仅列明格式材料要求，不代表所有列出格式的材料必须全部提交，具体提交以磋商文件规定的资格条件、评分标准要求及磋商文件给定格式等内容为准。</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2.带“△”项材料如未按“第三章 资格审查”——“第二节 资格审查要求”要求提交，将作资格审查不通过处理，带“*”项材料如未按要求提交，将作无效响应处理。</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4.响应文件应按照磋商文件要求的格式填写，无相应内容填写可填写“无”等明确的回答。</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5.响应文件所附格式中要求填写的全部信息都必须正面回答并保证是真实准确的。</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、对于竞争性磋商文件中标记了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的文件和竞争性磋商文件未提供格式的内容，可由供应商自行编写。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、实行电子化不见面交易方式的，加盖公章、签名等均通过响应文件编制工具加盖电子公章、签字、签章或印鉴。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应</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pStyle w:val="725"/>
        <w:ind w:left="0" w:right="0" w:firstLine="0"/>
        <w:spacing w:before="3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 </w:t>
      </w:r>
      <w:r>
        <w:rPr>
          <w:rFonts w:ascii="SimSun" w:hAnsi="SimSun" w:eastAsia="SimSun" w:cs="SimSun"/>
          <w:b/>
          <w:color w:val="000000"/>
          <w:sz w:val="24"/>
        </w:rPr>
        <w:t xml:space="preserve">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供应商：（加盖CA电子公章）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落实政府采购政策需满足的资格要求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）如本项目（包）不专门面向中小企业预留采购份额，供应商非必须提供；当小微企业拟享受中小企业扶持政策时，仍应提供《中小企业声明函》，否则不得享受相关中小企业扶持政策。</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）如本项目（包）专门面向中小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小微企业采购，须提供《中小企业声明函》（实质性格式）。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）其它</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）中小企业参加政府采购活动，应当出具此格式文件。《中小企业声明函》由参加政府采购活动的供应商出具。联合体响应的，《中小企业声明函》由牵头人出具。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）对于联合体中由中小企业承担的部分，或者分包给中小企业的部分，必须全部由中小企业制造、承建或者承接。供应商应当在声明函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部分标明联合体中中小企业承担的具体内容或者中小企业的具体分包内容。</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）对于多标的的采购项目，供应商应充分、准确地了解所投产品制造企业信息。对相关情况了解不清楚的，不建议填报本声明函。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其它落实政府采购政策的资格要求（如有）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本项目的特定资格要求（如有）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其他特定资格要求</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4</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响应函（实质性格式）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我方已详细审查全部磋商文件，自愿参与响应并承诺如下：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）本响应有效期为自提交响应文件的截止之日起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）除合同条款及采购需求偏离表列出的偏离外，我方响应磋商文件的全部要求。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）如我方中标，我方将在法律规定的期限内与你方签订合同，按照磋商文件要求提交履约保证金，并在合同约定的期限内完成合同规定的全部义务。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的政府采购活动，签署、澄清确认、递交、撤回、修改上述项目的响应文件、进行合同磋商、签署合同和处理与之有关的一切事务。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供应商：（加盖CA电子公章）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1.若供应商为事业单位或其他组织或分支机构（仅当磋商文件注明允许分支机构响应的），则法定代表人（单位负责人）处的签署人可为单位负责人。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政府采购供应商信用承诺书（实质性格式）</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报价一览表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24"/>
        <w:gridCol w:w="3024"/>
        <w:gridCol w:w="3024"/>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2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02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02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优惠率（</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w:t>
            </w:r>
            <w:r/>
          </w:p>
        </w:tc>
      </w:tr>
      <w:tr>
        <w:trPr>
          <w:trHeight w:val="30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2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2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024" w:type="dxa"/>
            <w:vAlign w:val="center"/>
            <w:textDirection w:val="lrTb"/>
            <w:noWrap w:val="false"/>
          </w:tcPr>
          <w:p>
            <w:pPr>
              <w:ind w:left="0" w:right="0" w:firstLine="0"/>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1295"/>
        <w:gridCol w:w="1998"/>
        <w:gridCol w:w="1999"/>
        <w:gridCol w:w="2447"/>
        <w:gridCol w:w="785"/>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9  </w:t>
      </w:r>
      <w:r>
        <w:rPr>
          <w:rFonts w:ascii="SimSun" w:hAnsi="SimSun" w:eastAsia="SimSun" w:cs="SimSun"/>
          <w:color w:val="000000"/>
          <w:sz w:val="24"/>
        </w:rPr>
        <w:t xml:space="preserve">采购需求偏离表（实质性格式）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_______________________</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对磋商文件中的所有商务、技术要求，除本表所列明的所有偏离外，均视作供应商已对之理解和响应。此表中若无任何文字说明，内容为空白，则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“偏离情况”列应据实填写“正偏离”或“负偏离”。如完全满足招标文件要求，偏离情况填写“完全满足”即可。</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）对于多标的的采购项目，供应商应充分、准确地了解所投产品制造企业信息。对相关情况了解不清楚的，不建议填报本声明函。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）中小企业认定标准以《关于印发中小企业划型标准规定的通知》（工信部联企业〔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20" w:tooltip="http://202.106.120.146/baosong/appweb/orgScale.html" w:history="1">
        <w:r>
          <w:rPr>
            <w:rStyle w:val="976"/>
            <w:rFonts w:ascii="Times New Roman" w:hAnsi="Times New Roman" w:eastAsia="Times New Roman" w:cs="Times New Roman"/>
            <w:color w:val="0000ee"/>
            <w:sz w:val="24"/>
            <w:u w:val="single"/>
          </w:rPr>
          <w:t xml:space="preserve">http://202.106.120.146/baosong/appweb/orgScale.html</w:t>
        </w:r>
      </w:hyperlink>
      <w:r>
        <w:rPr>
          <w:rFonts w:ascii="SimSun" w:hAnsi="SimSun" w:eastAsia="SimSun" w:cs="SimSun"/>
          <w:color w:val="000000"/>
          <w:sz w:val="24"/>
        </w:rPr>
        <w:t xml:space="preserve">）</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w:t>
      </w:r>
      <w:r>
        <w:rPr>
          <w:rFonts w:ascii="SimSun" w:hAnsi="SimSun" w:eastAsia="SimSun" w:cs="SimSun"/>
          <w:b/>
          <w:color w:val="000000"/>
          <w:sz w:val="24"/>
        </w:rPr>
        <w:t xml:space="preserve">在货物采购项目中，供应商提供的货物既有中型企业制造货物，也有小微企业制造货物的，不享受小微企业扶持政策，不予价格扣除。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7）小微企业未提供声明函的，价格分评审将不予价格扣除。</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中小企业声明函（服务）格式</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本公司（联合体）郑重声明，根据《政府采购促进中小企业发展管理办法》(财库[2020]46号)的规定，本公司（联合体）参加常州市政府采购中心组织的</w:t>
      </w:r>
      <w:r>
        <w:rPr>
          <w:rFonts w:ascii="FangSong" w:hAnsi="FangSong" w:eastAsia="FangSong" w:cs="FangSong"/>
          <w:color w:val="000000"/>
          <w:sz w:val="24"/>
          <w:u w:val="single"/>
        </w:rPr>
        <w:t xml:space="preserve">（采购单位名称①）</w:t>
      </w:r>
      <w:r>
        <w:rPr>
          <w:rFonts w:ascii="FangSong" w:hAnsi="FangSong" w:eastAsia="FangSong" w:cs="FangSong"/>
          <w:color w:val="000000"/>
          <w:sz w:val="24"/>
        </w:rPr>
        <w:t xml:space="preserve">采购编号为</w:t>
      </w:r>
      <w:r>
        <w:rPr>
          <w:rFonts w:ascii="FangSong" w:hAnsi="FangSong" w:eastAsia="FangSong" w:cs="FangSong"/>
          <w:color w:val="000000"/>
          <w:sz w:val="24"/>
          <w:u w:val="single"/>
        </w:rPr>
        <w:t xml:space="preserve">②</w:t>
      </w:r>
      <w:r>
        <w:rPr>
          <w:rFonts w:ascii="FangSong" w:hAnsi="FangSong" w:eastAsia="FangSong" w:cs="FangSong"/>
          <w:color w:val="000000"/>
          <w:sz w:val="24"/>
        </w:rPr>
        <w:t xml:space="preserve">，</w:t>
      </w:r>
      <w:r>
        <w:rPr>
          <w:rFonts w:ascii="FangSong" w:hAnsi="FangSong" w:eastAsia="FangSong" w:cs="FangSong"/>
          <w:color w:val="000000"/>
          <w:sz w:val="24"/>
          <w:u w:val="single"/>
        </w:rPr>
        <w:t xml:space="preserve">（项目名称③）（分包号：④）</w:t>
      </w:r>
      <w:r>
        <w:rPr>
          <w:rFonts w:ascii="FangSong" w:hAnsi="FangSong" w:eastAsia="FangSong" w:cs="FangSong"/>
          <w:color w:val="000000"/>
          <w:sz w:val="24"/>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single"/>
        </w:rPr>
        <w:t xml:space="preserve">（标的名称⑤）</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（采购文件中明确的所属行业⑥）</w:t>
      </w:r>
      <w:r>
        <w:rPr>
          <w:rFonts w:ascii="FangSong" w:hAnsi="FangSong" w:eastAsia="FangSong" w:cs="FangSong"/>
          <w:color w:val="000000"/>
          <w:sz w:val="24"/>
        </w:rPr>
        <w:t xml:space="preserve">行业；承接（承建）企业为</w:t>
      </w:r>
      <w:r>
        <w:rPr>
          <w:rFonts w:ascii="FangSong" w:hAnsi="FangSong" w:eastAsia="FangSong" w:cs="FangSong"/>
          <w:color w:val="000000"/>
          <w:sz w:val="24"/>
          <w:u w:val="single"/>
        </w:rPr>
        <w:t xml:space="preserve">（企业名称⑦）</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⑧</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⑨</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⑩</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（中型企业、小型企业、微型企业</w:t>
      </w:r>
      <w:r>
        <w:rPr>
          <w:rFonts w:ascii="SimSun" w:hAnsi="SimSun" w:eastAsia="SimSun" w:cs="SimSun"/>
          <w:color w:val="000000"/>
          <w:sz w:val="24"/>
          <w:u w:val="single"/>
        </w:rPr>
        <w:t xml:space="preserve">⑪</w:t>
      </w:r>
      <w:r>
        <w:rPr>
          <w:rFonts w:ascii="FangSong" w:hAnsi="FangSong" w:eastAsia="FangSong" w:cs="FangSong"/>
          <w:color w:val="000000"/>
          <w:sz w:val="24"/>
          <w:u w:val="single"/>
        </w:rPr>
        <w:t xml:space="preserve">）；</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（采购文件中明确的所属行业）</w:t>
      </w:r>
      <w:r>
        <w:rPr>
          <w:rFonts w:ascii="FangSong" w:hAnsi="FangSong" w:eastAsia="FangSong" w:cs="FangSong"/>
          <w:color w:val="000000"/>
          <w:sz w:val="24"/>
        </w:rPr>
        <w:t xml:space="preserve">行业；承接（承建）企业为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（中型企业、小型企业、微型企业）；</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180" w:firstLine="360"/>
        <w:jc w:val="right"/>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企业名称（加盖CA电子公章）</w:t>
      </w:r>
      <w:r>
        <w:rPr>
          <w:rFonts w:ascii="Cambria Math" w:hAnsi="Cambria Math" w:eastAsia="Cambria Math" w:cs="Cambria Math"/>
          <w:color w:val="000000"/>
          <w:sz w:val="24"/>
        </w:rPr>
        <w:t xml:space="preserve">⑫</w:t>
      </w:r>
      <w:r>
        <w:rPr>
          <w:rFonts w:ascii="FangSong" w:hAnsi="FangSong" w:eastAsia="FangSong" w:cs="FangSong"/>
          <w:color w:val="000000"/>
          <w:sz w:val="24"/>
        </w:rPr>
        <w:t xml:space="preserve">：</w:t>
      </w:r>
      <w:r/>
    </w:p>
    <w:p>
      <w:pPr>
        <w:ind w:left="0" w:right="480" w:firstLine="540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填写说明：</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1.（采购单位名称①）：填写本项目采购人单位名称，如常州市XXX局。</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2.采购编号为②：填写本项目编号，如JSZC-3204XX-SSCG-G20XX-XX。</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3.（项目名称③）：填写本项目名称，如常州市XXX项目。</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4.（分包号：④）：填写分包编号，如有分包的，分别填写分包号，没有的填“无”。</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5.（标的名称⑤）：填写本项目标的名称，如有产品清单的请根据采购文件“第四章采购需求”-“2.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6.（采购文件中明确的所属行业⑥）：填写本项目采购标的所属行业。须根据采购文件“第四章采购需求”表格中列明的所属行业进行填写。如：软件和信息技术服务业、租赁和商务服务业等。</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7.（企业名称⑦）：填写</w:t>
      </w:r>
      <w:r>
        <w:rPr>
          <w:rFonts w:ascii="FangSong" w:hAnsi="FangSong" w:eastAsia="FangSong" w:cs="FangSong"/>
          <w:b/>
          <w:color w:val="000000"/>
          <w:sz w:val="24"/>
        </w:rPr>
        <w:t xml:space="preserve">投标人或供应商的名称</w:t>
      </w:r>
      <w:r>
        <w:rPr>
          <w:rFonts w:ascii="FangSong" w:hAnsi="FangSong" w:eastAsia="FangSong" w:cs="FangSong"/>
          <w:color w:val="000000"/>
          <w:sz w:val="24"/>
        </w:rPr>
        <w:t xml:space="preserve">，如XXX公司。</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8.从业人员⑧人，营业收入为⑨万元，资产总额为⑩万元：填报</w:t>
      </w:r>
      <w:r>
        <w:rPr>
          <w:rFonts w:ascii="FangSong" w:hAnsi="FangSong" w:eastAsia="FangSong" w:cs="FangSong"/>
          <w:b/>
          <w:color w:val="000000"/>
          <w:sz w:val="24"/>
        </w:rPr>
        <w:t xml:space="preserve">投标人或供应商</w:t>
      </w:r>
      <w:r>
        <w:rPr>
          <w:rFonts w:ascii="FangSong" w:hAnsi="FangSong" w:eastAsia="FangSong" w:cs="FangSong"/>
          <w:color w:val="000000"/>
          <w:sz w:val="24"/>
        </w:rPr>
        <w:t xml:space="preserve">的从业人员、营业收入、资产总额上一年度数据，无上一年度数据的新成立企业可不填报。</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9.（中型企业、小型企业、微型企业</w:t>
      </w:r>
      <w:r>
        <w:rPr>
          <w:rFonts w:ascii="SimSun" w:hAnsi="SimSun" w:eastAsia="SimSun" w:cs="SimSun"/>
          <w:color w:val="000000"/>
          <w:sz w:val="24"/>
          <w:u w:val="single"/>
        </w:rPr>
        <w:t xml:space="preserve">⑪</w:t>
      </w:r>
      <w:r>
        <w:rPr>
          <w:rFonts w:ascii="FangSong" w:hAnsi="FangSong" w:eastAsia="FangSong" w:cs="FangSong"/>
          <w:color w:val="000000"/>
          <w:sz w:val="24"/>
        </w:rPr>
        <w:t xml:space="preserve">）：根据</w:t>
      </w:r>
      <w:r>
        <w:rPr>
          <w:rFonts w:ascii="FangSong" w:hAnsi="FangSong" w:eastAsia="FangSong" w:cs="FangSong"/>
          <w:b/>
          <w:color w:val="000000"/>
          <w:sz w:val="24"/>
        </w:rPr>
        <w:t xml:space="preserve">投标人或供应商</w:t>
      </w:r>
      <w:r>
        <w:rPr>
          <w:rFonts w:ascii="FangSong" w:hAnsi="FangSong" w:eastAsia="FangSong" w:cs="FangSong"/>
          <w:color w:val="000000"/>
          <w:sz w:val="24"/>
        </w:rPr>
        <w:t xml:space="preserve">的企业规模情况填写中型企业、小型企业或微型企业</w:t>
      </w:r>
      <w:r>
        <w:rPr>
          <w:rFonts w:ascii="FangSong" w:hAnsi="FangSong" w:eastAsia="FangSong" w:cs="FangSong"/>
          <w:b/>
          <w:color w:val="000000"/>
          <w:sz w:val="24"/>
        </w:rPr>
        <w:t xml:space="preserve">（只能填写三种其中的一种）</w:t>
      </w:r>
      <w:r>
        <w:rPr>
          <w:rFonts w:ascii="FangSong" w:hAnsi="FangSong" w:eastAsia="FangSong" w:cs="FangSong"/>
          <w:color w:val="000000"/>
          <w:sz w:val="24"/>
        </w:rPr>
        <w:t xml:space="preserve">。中小企业划分见《关于印发中小企业划型标准规定的通知》（工信部联企业〔2011〕300号) 。</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10.企业名称（盖章）</w:t>
      </w:r>
      <w:r>
        <w:rPr>
          <w:rFonts w:ascii="Cambria Math" w:hAnsi="Cambria Math" w:eastAsia="Cambria Math" w:cs="Cambria Math"/>
          <w:color w:val="000000"/>
          <w:sz w:val="24"/>
        </w:rPr>
        <w:t xml:space="preserve">⑫</w:t>
      </w:r>
      <w:r>
        <w:rPr>
          <w:rFonts w:ascii="FangSong" w:hAnsi="FangSong" w:eastAsia="FangSong" w:cs="FangSong"/>
          <w:color w:val="000000"/>
          <w:sz w:val="24"/>
        </w:rPr>
        <w:t xml:space="preserve">：加盖</w:t>
      </w:r>
      <w:r>
        <w:rPr>
          <w:rFonts w:ascii="FangSong" w:hAnsi="FangSong" w:eastAsia="FangSong" w:cs="FangSong"/>
          <w:b/>
          <w:color w:val="000000"/>
          <w:sz w:val="24"/>
        </w:rPr>
        <w:t xml:space="preserve">投标人或供应商</w:t>
      </w:r>
      <w:r>
        <w:rPr>
          <w:rFonts w:ascii="FangSong" w:hAnsi="FangSong" w:eastAsia="FangSong" w:cs="FangSong"/>
          <w:color w:val="000000"/>
          <w:sz w:val="24"/>
        </w:rPr>
        <w:t xml:space="preserve">CA电子公章。</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11.如是</w:t>
      </w:r>
      <w:r>
        <w:rPr>
          <w:rFonts w:ascii="FangSong" w:hAnsi="FangSong" w:eastAsia="FangSong" w:cs="FangSong"/>
          <w:b/>
          <w:color w:val="000000"/>
          <w:sz w:val="24"/>
        </w:rPr>
        <w:t xml:space="preserve">专门面向中小企业预留份额</w:t>
      </w:r>
      <w:r>
        <w:rPr>
          <w:rFonts w:ascii="FangSong" w:hAnsi="FangSong" w:eastAsia="FangSong" w:cs="FangSong"/>
          <w:color w:val="000000"/>
          <w:sz w:val="24"/>
        </w:rPr>
        <w:t xml:space="preserve">的采购项目，供应商未提供此声明函的，资格审查不予通过，作为</w:t>
      </w:r>
      <w:r>
        <w:rPr>
          <w:rFonts w:ascii="FangSong" w:hAnsi="FangSong" w:eastAsia="FangSong" w:cs="FangSong"/>
          <w:b/>
          <w:color w:val="000000"/>
          <w:sz w:val="24"/>
        </w:rPr>
        <w:t xml:space="preserve">无效投标（响应）</w:t>
      </w:r>
      <w:r>
        <w:rPr>
          <w:rFonts w:ascii="FangSong" w:hAnsi="FangSong" w:eastAsia="FangSong" w:cs="FangSong"/>
          <w:color w:val="000000"/>
          <w:sz w:val="24"/>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12.温馨提示</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（1）对于已纳入统计部门统计范围的企业，所属行业、从业人员、营业收入、资产总额、规模类型应与统计部门报表保持一致。</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（6）经调查发现供应商提供《中小企业声明函》内容与实际不符的，政府采购监管部门有权根据《中小企业声明函》与实际情况的差异视情形认定其是否属于虚假材料谋取中标。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项目采购活动提供本单位制造的货物（由本单位承担工程</w:t>
      </w:r>
      <w:r>
        <w:rPr>
          <w:rFonts w:ascii="Times New Roman" w:hAnsi="Times New Roman" w:eastAsia="Times New Roman" w:cs="Times New Roman"/>
          <w:color w:val="000000"/>
          <w:spacing w:val="6"/>
          <w:sz w:val="24"/>
        </w:rPr>
        <w:t xml:space="preserve">/</w:t>
      </w:r>
      <w:r>
        <w:rPr>
          <w:rFonts w:ascii="SimSun" w:hAnsi="SimSun" w:eastAsia="SimSun" w:cs="SimSun"/>
          <w:color w:val="000000"/>
          <w:spacing w:val="6"/>
          <w:sz w:val="24"/>
        </w:rPr>
        <w:t xml:space="preserve">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w:t>
      </w:r>
      <w:r>
        <w:rPr>
          <w:rFonts w:ascii="SimSun" w:hAnsi="SimSun" w:eastAsia="SimSun" w:cs="SimSun"/>
          <w:color w:val="000000"/>
          <w:sz w:val="24"/>
        </w:rPr>
        <w:t xml:space="preserve">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rPr>
          <w:rFonts w:ascii="SimSun" w:hAnsi="SimSun" w:eastAsia="SimSun" w:cs="SimSun"/>
          <w:color w:val="000000"/>
          <w:spacing w:val="6"/>
          <w:sz w:val="24"/>
        </w:rPr>
        <w:t xml:space="preserve">）：</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）总体概述</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）实施方案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）进度、质量保证措施方案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）劳动力、机械设备和材料投入计划</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）关键施工技术、工艺及工程项目实施的重点、难点和解决方案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）后期服务方案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b/>
          <w:color w:val="000000"/>
          <w:sz w:val="32"/>
        </w:rPr>
        <w:t xml:space="preserve">    </w:t>
      </w:r>
      <w:r>
        <w:rPr>
          <w:rFonts w:ascii="SimSun" w:hAnsi="SimSun" w:eastAsia="SimSun" w:cs="SimSun"/>
          <w:color w:val="000000"/>
          <w:sz w:val="24"/>
        </w:rPr>
        <w:t xml:space="preserve">关于符合本国产品标准的声明函（实质性格式）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关于符合本国产品标准的声明函</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19150" cy="1524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481073" name=""/>
                        <pic:cNvPicPr>
                          <a:picLocks noChangeAspect="1"/>
                        </pic:cNvPicPr>
                        <pic:nvPr/>
                      </pic:nvPicPr>
                      <pic:blipFill>
                        <a:blip/>
                        <a:stretch/>
                      </pic:blipFill>
                      <pic:spPr bwMode="auto">
                        <a:xfrm>
                          <a:off x="0" y="0"/>
                          <a:ext cx="8191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4.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95350" cy="1333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437076" name=""/>
                        <pic:cNvPicPr>
                          <a:picLocks noChangeAspect="1"/>
                        </pic:cNvPicPr>
                        <pic:nvPr/>
                      </pic:nvPicPr>
                      <pic:blipFill>
                        <a:blip/>
                        <a:stretch/>
                      </pic:blipFill>
                      <pic:spPr bwMode="auto">
                        <a:xfrm>
                          <a:off x="0" y="0"/>
                          <a:ext cx="89534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0.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839364"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5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619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627487" name=""/>
                        <pic:cNvPicPr>
                          <a:picLocks noChangeAspect="1"/>
                        </pic:cNvPicPr>
                        <pic:nvPr/>
                      </pic:nvPicPr>
                      <pic:blipFill>
                        <a:blip/>
                        <a:stretch/>
                      </pic:blipFill>
                      <pic:spPr bwMode="auto">
                        <a:xfrm>
                          <a:off x="0" y="0"/>
                          <a:ext cx="8286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2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19125" cy="1619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48269" name=""/>
                        <pic:cNvPicPr>
                          <a:picLocks noChangeAspect="1"/>
                        </pic:cNvPicPr>
                        <pic:nvPr/>
                      </pic:nvPicPr>
                      <pic:blipFill>
                        <a:blip/>
                        <a:stretch/>
                      </pic:blipFill>
                      <pic:spPr bwMode="auto">
                        <a:xfrm>
                          <a:off x="0" y="0"/>
                          <a:ext cx="619124"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8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619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438046" name=""/>
                        <pic:cNvPicPr>
                          <a:picLocks noChangeAspect="1"/>
                        </pic:cNvPicPr>
                        <pic:nvPr/>
                      </pic:nvPicPr>
                      <pic:blipFill>
                        <a:blip/>
                        <a:stretch/>
                      </pic:blipFill>
                      <pic:spPr bwMode="auto">
                        <a:xfrm>
                          <a:off x="0" y="0"/>
                          <a:ext cx="8286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5.2pt;height:12.8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19150" cy="20955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379602" name=""/>
                        <pic:cNvPicPr>
                          <a:picLocks noChangeAspect="1"/>
                        </pic:cNvPicPr>
                        <pic:nvPr/>
                      </pic:nvPicPr>
                      <pic:blipFill>
                        <a:blip/>
                        <a:stretch/>
                      </pic:blipFill>
                      <pic:spPr bwMode="auto">
                        <a:xfrm>
                          <a:off x="0" y="0"/>
                          <a:ext cx="819149" cy="209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4.5pt;height:16.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85800" cy="2095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437906" name=""/>
                        <pic:cNvPicPr>
                          <a:picLocks noChangeAspect="1"/>
                        </pic:cNvPicPr>
                        <pic:nvPr/>
                      </pic:nvPicPr>
                      <pic:blipFill>
                        <a:blip/>
                        <a:stretch/>
                      </pic:blipFill>
                      <pic:spPr bwMode="auto">
                        <a:xfrm>
                          <a:off x="0" y="0"/>
                          <a:ext cx="685800" cy="209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4.0pt;height:16.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7145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722648" name=""/>
                        <pic:cNvPicPr>
                          <a:picLocks noChangeAspect="1"/>
                        </pic:cNvPicPr>
                        <pic:nvPr/>
                      </pic:nvPicPr>
                      <pic:blipFill>
                        <a:blip/>
                        <a:stretch/>
                      </pic:blipFill>
                      <pic:spPr bwMode="auto">
                        <a:xfrm>
                          <a:off x="0" y="0"/>
                          <a:ext cx="857250" cy="1714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7.5pt;height:13.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4287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684528" name=""/>
                        <pic:cNvPicPr>
                          <a:picLocks noChangeAspect="1"/>
                        </pic:cNvPicPr>
                        <pic:nvPr/>
                      </pic:nvPicPr>
                      <pic:blipFill>
                        <a:blip/>
                        <a:stretch/>
                      </pic:blipFill>
                      <pic:spPr bwMode="auto">
                        <a:xfrm>
                          <a:off x="0" y="0"/>
                          <a:ext cx="85725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7.5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23925"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598244" name=""/>
                        <pic:cNvPicPr>
                          <a:picLocks noChangeAspect="1"/>
                        </pic:cNvPicPr>
                        <pic:nvPr/>
                      </pic:nvPicPr>
                      <pic:blipFill>
                        <a:blip/>
                        <a:stretch/>
                      </pic:blipFill>
                      <pic:spPr bwMode="auto">
                        <a:xfrm>
                          <a:off x="0" y="0"/>
                          <a:ext cx="9239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8097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808439" name=""/>
                        <pic:cNvPicPr>
                          <a:picLocks noChangeAspect="1"/>
                        </pic:cNvPicPr>
                        <pic:nvPr/>
                      </pic:nvPicPr>
                      <pic:blipFill>
                        <a:blip/>
                        <a:stretch/>
                      </pic:blipFill>
                      <pic:spPr bwMode="auto">
                        <a:xfrm>
                          <a:off x="0" y="0"/>
                          <a:ext cx="828675" cy="1809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5.2pt;height:14.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6.用斜线划除的地方无需填写。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15  </w:t>
      </w:r>
      <w:r>
        <w:rPr>
          <w:rFonts w:ascii="SimSun" w:hAnsi="SimSun" w:eastAsia="SimSun" w:cs="SimSun"/>
          <w:color w:val="000000"/>
          <w:sz w:val="24"/>
        </w:rPr>
        <w:t xml:space="preserve">磋商文件要求提供或供应商认为应附的其他材料</w:t>
      </w:r>
      <w:r/>
    </w:p>
    <w:p>
      <w:r/>
      <w:r/>
    </w:p>
    <w:sectPr>
      <w:headerReference w:type="even" r:id="rId9"/>
      <w:headerReference w:type="first" r:id="rId10"/>
      <w:footerReference w:type="even"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2">
    <w:panose1 w:val="05020102010507070707"/>
  </w:font>
  <w:font w:name="FangSong">
    <w:panose1 w:val="02010609060101010101"/>
  </w:font>
  <w:font w:name="Segoe UI Symbol">
    <w:panose1 w:val="020B0502040204020203"/>
  </w:font>
  <w:font w:name="SimHei">
    <w:panose1 w:val="02010609060101010101"/>
  </w:font>
  <w:font w:name="SimSun">
    <w:panose1 w:val="02010600030101010101"/>
  </w:font>
  <w:font w:name="Wingdings">
    <w:panose1 w:val="05000000000000000000"/>
  </w:font>
  <w:font w:name="Tahoma">
    <w:panose1 w:val="020B0604030504040204"/>
  </w:font>
  <w:font w:name="ˎ̥">
    <w:panose1 w:val="020B0503020202020204"/>
  </w:font>
  <w:font w:name="FangSong_GB2312">
    <w:panose1 w:val="02010609060101010101"/>
  </w:font>
  <w:font w:name="Symbol">
    <w:panose1 w:val="05050102010706020507"/>
  </w:font>
  <w:font w:name="Courier New">
    <w:panose1 w:val="02070309020205020404"/>
  </w:font>
  <w:font w:name="Calibri">
    <w:panose1 w:val="020F0502020204030204"/>
  </w:font>
  <w:font w:name="华文中宋">
    <w:panose1 w:val="0201060004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rPr>
        <w:rStyle w:val="973"/>
      </w:rPr>
      <w:framePr w:wrap="around" w:vAnchor="text" w:hAnchor="margin" w:xAlign="right" w:y="1"/>
    </w:pPr>
    <w:r>
      <w:rPr>
        <w:rStyle w:val="973"/>
      </w:rPr>
      <w:fldChar w:fldCharType="begin"/>
    </w:r>
    <w:r>
      <w:rPr>
        <w:rStyle w:val="973"/>
      </w:rPr>
      <w:instrText xml:space="preserve">PAGE  </w:instrText>
    </w:r>
    <w:r>
      <w:rPr>
        <w:rStyle w:val="973"/>
      </w:rPr>
      <w:fldChar w:fldCharType="end"/>
    </w:r>
    <w:r>
      <w:rPr>
        <w:rStyle w:val="973"/>
      </w:rPr>
    </w:r>
    <w:r/>
  </w:p>
  <w:p>
    <w:pPr>
      <w:pStyle w:val="949"/>
      <w:ind w:right="360"/>
      <w:tabs>
        <w:tab w:val="center" w:pos="4153" w:leader="none"/>
        <w:tab w:val="right" w:pos="8306" w:leader="none"/>
      </w:tabs>
    </w:pPr>
    <w:r/>
    <w:r/>
  </w:p>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
  </w:p>
  <w:p>
    <w:pPr>
      <w:pStyle w:val="89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99"/>
        <w:ind w:left="4941" w:hanging="1140"/>
        <w:tabs>
          <w:tab w:val="num" w:pos="4941" w:leader="none"/>
        </w:tabs>
      </w:pPr>
      <w:rPr>
        <w:rFonts w:hint="eastAsia"/>
      </w:rPr>
    </w:lvl>
    <w:lvl w:ilvl="1">
      <w:start w:val="1"/>
      <w:numFmt w:val="lowerLetter"/>
      <w:isLgl w:val="false"/>
      <w:suff w:val="tab"/>
      <w:lvlText w:val="%2)"/>
      <w:lvlJc w:val="left"/>
      <w:pPr>
        <w:pStyle w:val="899"/>
        <w:ind w:left="4641" w:hanging="420"/>
        <w:tabs>
          <w:tab w:val="num" w:pos="4641" w:leader="none"/>
        </w:tabs>
      </w:pPr>
    </w:lvl>
    <w:lvl w:ilvl="2">
      <w:start w:val="1"/>
      <w:numFmt w:val="lowerRoman"/>
      <w:isLgl w:val="false"/>
      <w:suff w:val="tab"/>
      <w:lvlText w:val="%3."/>
      <w:lvlJc w:val="right"/>
      <w:pPr>
        <w:pStyle w:val="899"/>
        <w:ind w:left="5061" w:hanging="420"/>
        <w:tabs>
          <w:tab w:val="num" w:pos="5061" w:leader="none"/>
        </w:tabs>
      </w:pPr>
    </w:lvl>
    <w:lvl w:ilvl="3">
      <w:start w:val="1"/>
      <w:numFmt w:val="decimal"/>
      <w:isLgl w:val="false"/>
      <w:suff w:val="tab"/>
      <w:lvlText w:val="%4."/>
      <w:lvlJc w:val="left"/>
      <w:pPr>
        <w:pStyle w:val="899"/>
        <w:ind w:left="5481" w:hanging="420"/>
        <w:tabs>
          <w:tab w:val="num" w:pos="5481" w:leader="none"/>
        </w:tabs>
      </w:pPr>
    </w:lvl>
    <w:lvl w:ilvl="4">
      <w:start w:val="1"/>
      <w:numFmt w:val="lowerLetter"/>
      <w:isLgl w:val="false"/>
      <w:suff w:val="tab"/>
      <w:lvlText w:val="%5)"/>
      <w:lvlJc w:val="left"/>
      <w:pPr>
        <w:pStyle w:val="899"/>
        <w:ind w:left="5901" w:hanging="420"/>
        <w:tabs>
          <w:tab w:val="num" w:pos="5901" w:leader="none"/>
        </w:tabs>
      </w:pPr>
    </w:lvl>
    <w:lvl w:ilvl="5">
      <w:start w:val="1"/>
      <w:numFmt w:val="lowerRoman"/>
      <w:isLgl w:val="false"/>
      <w:suff w:val="tab"/>
      <w:lvlText w:val="%6."/>
      <w:lvlJc w:val="right"/>
      <w:pPr>
        <w:pStyle w:val="899"/>
        <w:ind w:left="6321" w:hanging="420"/>
        <w:tabs>
          <w:tab w:val="num" w:pos="6321" w:leader="none"/>
        </w:tabs>
      </w:pPr>
    </w:lvl>
    <w:lvl w:ilvl="6">
      <w:start w:val="1"/>
      <w:numFmt w:val="decimal"/>
      <w:isLgl w:val="false"/>
      <w:suff w:val="tab"/>
      <w:lvlText w:val="%7."/>
      <w:lvlJc w:val="left"/>
      <w:pPr>
        <w:pStyle w:val="899"/>
        <w:ind w:left="6741" w:hanging="420"/>
        <w:tabs>
          <w:tab w:val="num" w:pos="6741" w:leader="none"/>
        </w:tabs>
      </w:pPr>
    </w:lvl>
    <w:lvl w:ilvl="7">
      <w:start w:val="1"/>
      <w:numFmt w:val="lowerLetter"/>
      <w:isLgl w:val="false"/>
      <w:suff w:val="tab"/>
      <w:lvlText w:val="%8)"/>
      <w:lvlJc w:val="left"/>
      <w:pPr>
        <w:pStyle w:val="899"/>
        <w:ind w:left="7161" w:hanging="420"/>
        <w:tabs>
          <w:tab w:val="num" w:pos="7161" w:leader="none"/>
        </w:tabs>
      </w:pPr>
    </w:lvl>
    <w:lvl w:ilvl="8">
      <w:start w:val="1"/>
      <w:numFmt w:val="lowerRoman"/>
      <w:isLgl w:val="false"/>
      <w:suff w:val="tab"/>
      <w:lvlText w:val="%9."/>
      <w:lvlJc w:val="right"/>
      <w:pPr>
        <w:pStyle w:val="899"/>
        <w:ind w:left="7581" w:hanging="420"/>
        <w:tabs>
          <w:tab w:val="num" w:pos="7581" w:leader="none"/>
        </w:tabs>
      </w:pPr>
    </w:lvl>
  </w:abstractNum>
  <w:abstractNum w:abstractNumId="1">
    <w:multiLevelType w:val="hybridMultilevel"/>
    <w:lvl w:ilvl="0">
      <w:start w:val="1"/>
      <w:numFmt w:val="decimal"/>
      <w:pStyle w:val="1013"/>
      <w:isLgl w:val="false"/>
      <w:suff w:val="tab"/>
      <w:lvlText w:val="%1."/>
      <w:lvlJc w:val="left"/>
      <w:pPr>
        <w:pStyle w:val="899"/>
        <w:ind w:left="420" w:hanging="420"/>
      </w:pPr>
    </w:lvl>
    <w:lvl w:ilvl="1">
      <w:start w:val="1"/>
      <w:numFmt w:val="decimal"/>
      <w:isLgl w:val="false"/>
      <w:suff w:val="tab"/>
      <w:lvlText w:val="（%2）"/>
      <w:lvlJc w:val="left"/>
      <w:pPr>
        <w:pStyle w:val="899"/>
        <w:ind w:left="1140" w:hanging="720"/>
        <w:tabs>
          <w:tab w:val="num" w:pos="1140" w:leader="none"/>
        </w:tabs>
      </w:pPr>
      <w:rPr>
        <w:rFonts w:hint="eastAsia"/>
      </w:rPr>
    </w:lvl>
    <w:lvl w:ilvl="2">
      <w:start w:val="1"/>
      <w:numFmt w:val="lowerRoman"/>
      <w:isLgl w:val="false"/>
      <w:suff w:val="tab"/>
      <w:lvlText w:val="%3."/>
      <w:lvlJc w:val="right"/>
      <w:pPr>
        <w:pStyle w:val="899"/>
        <w:ind w:left="1260" w:hanging="420"/>
      </w:pPr>
    </w:lvl>
    <w:lvl w:ilvl="3">
      <w:start w:val="1"/>
      <w:numFmt w:val="decimal"/>
      <w:isLgl w:val="false"/>
      <w:suff w:val="tab"/>
      <w:lvlText w:val="%4."/>
      <w:lvlJc w:val="left"/>
      <w:pPr>
        <w:pStyle w:val="899"/>
        <w:ind w:left="1680" w:hanging="420"/>
      </w:pPr>
    </w:lvl>
    <w:lvl w:ilvl="4">
      <w:start w:val="1"/>
      <w:numFmt w:val="lowerLetter"/>
      <w:isLgl w:val="false"/>
      <w:suff w:val="tab"/>
      <w:lvlText w:val="%5)"/>
      <w:lvlJc w:val="left"/>
      <w:pPr>
        <w:pStyle w:val="899"/>
        <w:ind w:left="2100" w:hanging="420"/>
      </w:pPr>
    </w:lvl>
    <w:lvl w:ilvl="5">
      <w:start w:val="1"/>
      <w:numFmt w:val="lowerRoman"/>
      <w:isLgl w:val="false"/>
      <w:suff w:val="tab"/>
      <w:lvlText w:val="%6."/>
      <w:lvlJc w:val="right"/>
      <w:pPr>
        <w:pStyle w:val="899"/>
        <w:ind w:left="2520" w:hanging="420"/>
      </w:pPr>
    </w:lvl>
    <w:lvl w:ilvl="6">
      <w:start w:val="1"/>
      <w:numFmt w:val="decimal"/>
      <w:isLgl w:val="false"/>
      <w:suff w:val="tab"/>
      <w:lvlText w:val="%7."/>
      <w:lvlJc w:val="left"/>
      <w:pPr>
        <w:pStyle w:val="899"/>
        <w:ind w:left="2940" w:hanging="420"/>
      </w:pPr>
    </w:lvl>
    <w:lvl w:ilvl="7">
      <w:start w:val="1"/>
      <w:numFmt w:val="lowerLetter"/>
      <w:isLgl w:val="false"/>
      <w:suff w:val="tab"/>
      <w:lvlText w:val="%8)"/>
      <w:lvlJc w:val="left"/>
      <w:pPr>
        <w:pStyle w:val="899"/>
        <w:ind w:left="3360" w:hanging="420"/>
      </w:pPr>
    </w:lvl>
    <w:lvl w:ilvl="8">
      <w:start w:val="1"/>
      <w:numFmt w:val="lowerRoman"/>
      <w:isLgl w:val="false"/>
      <w:suff w:val="tab"/>
      <w:lvlText w:val="%9."/>
      <w:lvlJc w:val="right"/>
      <w:pPr>
        <w:pStyle w:val="899"/>
        <w:ind w:left="3780" w:hanging="420"/>
      </w:pPr>
    </w:lvl>
  </w:abstractNum>
  <w:abstractNum w:abstractNumId="2">
    <w:multiLevelType w:val="hybridMultilevel"/>
    <w:lvl w:ilvl="0">
      <w:start w:val="1"/>
      <w:numFmt w:val="lowerLetter"/>
      <w:pStyle w:val="1087"/>
      <w:isLgl w:val="false"/>
      <w:suff w:val="tab"/>
      <w:lvlText w:val="%1)"/>
      <w:lvlJc w:val="left"/>
      <w:pPr>
        <w:pStyle w:val="899"/>
        <w:ind w:left="902" w:hanging="420"/>
      </w:pPr>
      <w:rPr>
        <w:color w:val="000000"/>
      </w:rPr>
    </w:lvl>
    <w:lvl w:ilvl="1">
      <w:start w:val="1"/>
      <w:numFmt w:val="lowerLetter"/>
      <w:isLgl w:val="false"/>
      <w:suff w:val="tab"/>
      <w:lvlText w:val="%2)"/>
      <w:lvlJc w:val="left"/>
      <w:pPr>
        <w:pStyle w:val="899"/>
        <w:ind w:left="1322" w:hanging="420"/>
      </w:pPr>
    </w:lvl>
    <w:lvl w:ilvl="2">
      <w:start w:val="1"/>
      <w:numFmt w:val="lowerRoman"/>
      <w:isLgl w:val="false"/>
      <w:suff w:val="tab"/>
      <w:lvlText w:val="%3."/>
      <w:lvlJc w:val="right"/>
      <w:pPr>
        <w:pStyle w:val="899"/>
        <w:ind w:left="1742" w:hanging="420"/>
      </w:pPr>
    </w:lvl>
    <w:lvl w:ilvl="3">
      <w:start w:val="1"/>
      <w:numFmt w:val="decimal"/>
      <w:isLgl w:val="false"/>
      <w:suff w:val="tab"/>
      <w:lvlText w:val="%4."/>
      <w:lvlJc w:val="left"/>
      <w:pPr>
        <w:pStyle w:val="899"/>
        <w:ind w:left="2162" w:hanging="420"/>
      </w:pPr>
    </w:lvl>
    <w:lvl w:ilvl="4">
      <w:start w:val="1"/>
      <w:numFmt w:val="lowerLetter"/>
      <w:isLgl w:val="false"/>
      <w:suff w:val="tab"/>
      <w:lvlText w:val="%5)"/>
      <w:lvlJc w:val="left"/>
      <w:pPr>
        <w:pStyle w:val="899"/>
        <w:ind w:left="2582" w:hanging="420"/>
      </w:pPr>
    </w:lvl>
    <w:lvl w:ilvl="5">
      <w:start w:val="1"/>
      <w:numFmt w:val="lowerRoman"/>
      <w:isLgl w:val="false"/>
      <w:suff w:val="tab"/>
      <w:lvlText w:val="%6."/>
      <w:lvlJc w:val="right"/>
      <w:pPr>
        <w:pStyle w:val="899"/>
        <w:ind w:left="3002" w:hanging="420"/>
      </w:pPr>
    </w:lvl>
    <w:lvl w:ilvl="6">
      <w:start w:val="1"/>
      <w:numFmt w:val="decimal"/>
      <w:isLgl w:val="false"/>
      <w:suff w:val="tab"/>
      <w:lvlText w:val="%7."/>
      <w:lvlJc w:val="left"/>
      <w:pPr>
        <w:pStyle w:val="899"/>
        <w:ind w:left="3422" w:hanging="420"/>
      </w:pPr>
    </w:lvl>
    <w:lvl w:ilvl="7">
      <w:start w:val="1"/>
      <w:numFmt w:val="lowerLetter"/>
      <w:isLgl w:val="false"/>
      <w:suff w:val="tab"/>
      <w:lvlText w:val="%8)"/>
      <w:lvlJc w:val="left"/>
      <w:pPr>
        <w:pStyle w:val="899"/>
        <w:ind w:left="3842" w:hanging="420"/>
      </w:pPr>
    </w:lvl>
    <w:lvl w:ilvl="8">
      <w:start w:val="1"/>
      <w:numFmt w:val="lowerRoman"/>
      <w:isLgl w:val="false"/>
      <w:suff w:val="tab"/>
      <w:lvlText w:val="%9."/>
      <w:lvlJc w:val="right"/>
      <w:pPr>
        <w:pStyle w:val="899"/>
        <w:ind w:left="4262" w:hanging="420"/>
      </w:pPr>
    </w:lvl>
  </w:abstractNum>
  <w:abstractNum w:abstractNumId="3">
    <w:multiLevelType w:val="hybridMultilevel"/>
    <w:lvl w:ilvl="0">
      <w:start w:val="1"/>
      <w:numFmt w:val="decimal"/>
      <w:pStyle w:val="1058"/>
      <w:isLgl w:val="false"/>
      <w:suff w:val="tab"/>
      <w:lvlText w:val="%1."/>
      <w:lvlJc w:val="left"/>
      <w:pPr>
        <w:pStyle w:val="89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07"/>
      <w:isLgl w:val="false"/>
      <w:suff w:val="nothing"/>
      <w:lvlText w:val="%1　"/>
      <w:lvlJc w:val="left"/>
      <w:pPr>
        <w:pStyle w:val="89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9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99"/>
        <w:ind w:left="-25" w:firstLine="0"/>
      </w:pPr>
      <w:rPr>
        <w:rFonts w:ascii="Times New Roman" w:hAnsi="Times New Roman" w:eastAsia="黑体"/>
        <w:b/>
        <w:i w:val="0"/>
        <w:sz w:val="28"/>
      </w:rPr>
    </w:lvl>
    <w:lvl w:ilvl="3">
      <w:start w:val="1"/>
      <w:numFmt w:val="decimal"/>
      <w:pStyle w:val="1043"/>
      <w:isLgl w:val="false"/>
      <w:suff w:val="nothing"/>
      <w:lvlText w:val="%1.%2.%3.%4　"/>
      <w:lvlJc w:val="left"/>
      <w:pPr>
        <w:pStyle w:val="89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9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99"/>
        <w:ind w:left="-25" w:firstLine="0"/>
      </w:pPr>
      <w:rPr>
        <w:rFonts w:ascii="Times New Roman" w:hAnsi="Times New Roman" w:eastAsia="宋体"/>
        <w:b/>
        <w:i w:val="0"/>
        <w:sz w:val="28"/>
      </w:rPr>
    </w:lvl>
    <w:lvl w:ilvl="6">
      <w:start w:val="1"/>
      <w:numFmt w:val="lowerLetter"/>
      <w:pStyle w:val="1064"/>
      <w:isLgl w:val="false"/>
      <w:suff w:val="tab"/>
      <w:lvlText w:val="%7) "/>
      <w:lvlJc w:val="left"/>
      <w:pPr>
        <w:pStyle w:val="899"/>
        <w:ind w:left="-125" w:firstLine="400"/>
        <w:tabs>
          <w:tab w:val="num" w:pos="635" w:leader="none"/>
        </w:tabs>
      </w:pPr>
      <w:rPr>
        <w:rFonts w:ascii="Times New Roman" w:hAnsi="Times New Roman" w:eastAsia="宋体"/>
        <w:b/>
        <w:i w:val="0"/>
        <w:color w:val="000000"/>
        <w:sz w:val="28"/>
        <w:u w:val="none"/>
      </w:rPr>
    </w:lvl>
    <w:lvl w:ilvl="7">
      <w:start w:val="1"/>
      <w:numFmt w:val="decimal"/>
      <w:pStyle w:val="1027"/>
      <w:isLgl w:val="false"/>
      <w:suff w:val="tab"/>
      <w:lvlText w:val="%8) "/>
      <w:lvlJc w:val="left"/>
      <w:pPr>
        <w:pStyle w:val="89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99"/>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99"/>
        <w:ind w:left="768" w:hanging="360"/>
        <w:tabs>
          <w:tab w:val="num" w:pos="768" w:leader="none"/>
        </w:tabs>
      </w:pPr>
      <w:rPr>
        <w:rFonts w:hint="eastAsia"/>
      </w:rPr>
    </w:lvl>
    <w:lvl w:ilvl="1">
      <w:start w:val="1"/>
      <w:numFmt w:val="decimal"/>
      <w:pStyle w:val="1045"/>
      <w:isLgl w:val="false"/>
      <w:suff w:val="tab"/>
      <w:lvlText w:val="%2、"/>
      <w:lvlJc w:val="left"/>
      <w:pPr>
        <w:pStyle w:val="899"/>
        <w:ind w:left="1188" w:hanging="360"/>
        <w:tabs>
          <w:tab w:val="num" w:pos="1188" w:leader="none"/>
        </w:tabs>
      </w:pPr>
      <w:rPr>
        <w:rFonts w:hint="eastAsia"/>
      </w:rPr>
    </w:lvl>
    <w:lvl w:ilvl="2">
      <w:start w:val="1"/>
      <w:numFmt w:val="decimal"/>
      <w:isLgl w:val="false"/>
      <w:suff w:val="tab"/>
      <w:lvlText w:val="（%3）"/>
      <w:lvlJc w:val="left"/>
      <w:pPr>
        <w:pStyle w:val="899"/>
        <w:ind w:left="1968" w:hanging="720"/>
        <w:tabs>
          <w:tab w:val="num" w:pos="1968" w:leader="none"/>
        </w:tabs>
      </w:pPr>
      <w:rPr>
        <w:rFonts w:hint="eastAsia"/>
        <w:u w:val="none"/>
      </w:rPr>
    </w:lvl>
    <w:lvl w:ilvl="3">
      <w:start w:val="1"/>
      <w:numFmt w:val="decimal"/>
      <w:isLgl w:val="false"/>
      <w:suff w:val="tab"/>
      <w:lvlText w:val="%4."/>
      <w:lvlJc w:val="left"/>
      <w:pPr>
        <w:pStyle w:val="899"/>
        <w:ind w:left="2088" w:hanging="420"/>
        <w:tabs>
          <w:tab w:val="num" w:pos="2088" w:leader="none"/>
        </w:tabs>
      </w:pPr>
    </w:lvl>
    <w:lvl w:ilvl="4">
      <w:start w:val="1"/>
      <w:numFmt w:val="lowerLetter"/>
      <w:isLgl w:val="false"/>
      <w:suff w:val="tab"/>
      <w:lvlText w:val="%5)"/>
      <w:lvlJc w:val="left"/>
      <w:pPr>
        <w:pStyle w:val="899"/>
        <w:ind w:left="2508" w:hanging="420"/>
        <w:tabs>
          <w:tab w:val="num" w:pos="2508" w:leader="none"/>
        </w:tabs>
      </w:pPr>
    </w:lvl>
    <w:lvl w:ilvl="5">
      <w:start w:val="1"/>
      <w:numFmt w:val="lowerRoman"/>
      <w:isLgl w:val="false"/>
      <w:suff w:val="tab"/>
      <w:lvlText w:val="%6."/>
      <w:lvlJc w:val="right"/>
      <w:pPr>
        <w:pStyle w:val="899"/>
        <w:ind w:left="2928" w:hanging="420"/>
        <w:tabs>
          <w:tab w:val="num" w:pos="2928" w:leader="none"/>
        </w:tabs>
      </w:pPr>
    </w:lvl>
    <w:lvl w:ilvl="6">
      <w:start w:val="1"/>
      <w:numFmt w:val="decimal"/>
      <w:isLgl w:val="false"/>
      <w:suff w:val="tab"/>
      <w:lvlText w:val="%7."/>
      <w:lvlJc w:val="left"/>
      <w:pPr>
        <w:pStyle w:val="899"/>
        <w:ind w:left="3348" w:hanging="420"/>
        <w:tabs>
          <w:tab w:val="num" w:pos="3348" w:leader="none"/>
        </w:tabs>
      </w:pPr>
    </w:lvl>
    <w:lvl w:ilvl="7">
      <w:start w:val="1"/>
      <w:numFmt w:val="lowerLetter"/>
      <w:isLgl w:val="false"/>
      <w:suff w:val="tab"/>
      <w:lvlText w:val="%8)"/>
      <w:lvlJc w:val="left"/>
      <w:pPr>
        <w:pStyle w:val="899"/>
        <w:ind w:left="3768" w:hanging="420"/>
        <w:tabs>
          <w:tab w:val="num" w:pos="3768" w:leader="none"/>
        </w:tabs>
      </w:pPr>
    </w:lvl>
    <w:lvl w:ilvl="8">
      <w:start w:val="1"/>
      <w:numFmt w:val="lowerRoman"/>
      <w:isLgl w:val="false"/>
      <w:suff w:val="tab"/>
      <w:lvlText w:val="%9."/>
      <w:lvlJc w:val="right"/>
      <w:pPr>
        <w:pStyle w:val="899"/>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99"/>
        <w:ind w:left="900" w:hanging="900"/>
        <w:tabs>
          <w:tab w:val="num" w:pos="900" w:leader="none"/>
        </w:tabs>
      </w:pPr>
      <w:rPr>
        <w:rFonts w:hint="eastAsia"/>
      </w:rPr>
    </w:lvl>
    <w:lvl w:ilvl="1">
      <w:start w:val="1"/>
      <w:numFmt w:val="decimal"/>
      <w:isLgl w:val="false"/>
      <w:suff w:val="tab"/>
      <w:lvlText w:val="%1.%2"/>
      <w:lvlJc w:val="left"/>
      <w:pPr>
        <w:pStyle w:val="89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99"/>
        <w:ind w:left="1980" w:hanging="900"/>
        <w:tabs>
          <w:tab w:val="num" w:pos="1980" w:leader="none"/>
        </w:tabs>
      </w:pPr>
      <w:rPr>
        <w:rFonts w:hint="eastAsia"/>
      </w:rPr>
    </w:lvl>
    <w:lvl w:ilvl="3">
      <w:start w:val="1"/>
      <w:numFmt w:val="decimal"/>
      <w:isLgl w:val="false"/>
      <w:suff w:val="tab"/>
      <w:lvlText w:val="%1.%2.%3.%4"/>
      <w:lvlJc w:val="left"/>
      <w:pPr>
        <w:pStyle w:val="899"/>
        <w:ind w:left="900" w:hanging="900"/>
        <w:tabs>
          <w:tab w:val="num" w:pos="900" w:leader="none"/>
        </w:tabs>
      </w:pPr>
      <w:rPr>
        <w:rFonts w:hint="eastAsia"/>
      </w:rPr>
    </w:lvl>
    <w:lvl w:ilvl="4">
      <w:start w:val="1"/>
      <w:numFmt w:val="decimal"/>
      <w:isLgl w:val="false"/>
      <w:suff w:val="tab"/>
      <w:lvlText w:val="%1.%2.%3.%4.%5"/>
      <w:lvlJc w:val="left"/>
      <w:pPr>
        <w:pStyle w:val="899"/>
        <w:ind w:left="900" w:hanging="900"/>
        <w:tabs>
          <w:tab w:val="num" w:pos="900" w:leader="none"/>
        </w:tabs>
      </w:pPr>
      <w:rPr>
        <w:rFonts w:hint="eastAsia"/>
      </w:rPr>
    </w:lvl>
    <w:lvl w:ilvl="5">
      <w:start w:val="1"/>
      <w:numFmt w:val="decimal"/>
      <w:isLgl w:val="false"/>
      <w:suff w:val="tab"/>
      <w:lvlText w:val="%1.%2.%3.%4.%5.%6"/>
      <w:lvlJc w:val="left"/>
      <w:pPr>
        <w:pStyle w:val="899"/>
        <w:ind w:left="900" w:hanging="900"/>
        <w:tabs>
          <w:tab w:val="num" w:pos="900" w:leader="none"/>
        </w:tabs>
      </w:pPr>
      <w:rPr>
        <w:rFonts w:hint="eastAsia"/>
      </w:rPr>
    </w:lvl>
    <w:lvl w:ilvl="6">
      <w:start w:val="1"/>
      <w:numFmt w:val="decimal"/>
      <w:isLgl w:val="false"/>
      <w:suff w:val="tab"/>
      <w:lvlText w:val="%1.%2.%3.%4.%5.%6.%7"/>
      <w:lvlJc w:val="left"/>
      <w:pPr>
        <w:pStyle w:val="899"/>
        <w:ind w:left="900" w:hanging="900"/>
        <w:tabs>
          <w:tab w:val="num" w:pos="900" w:leader="none"/>
        </w:tabs>
      </w:pPr>
      <w:rPr>
        <w:rFonts w:hint="eastAsia"/>
      </w:rPr>
    </w:lvl>
    <w:lvl w:ilvl="7">
      <w:start w:val="1"/>
      <w:numFmt w:val="decimal"/>
      <w:isLgl w:val="false"/>
      <w:suff w:val="tab"/>
      <w:lvlText w:val="%1.%2.%3.%4.%5.%6.%7.%8"/>
      <w:lvlJc w:val="left"/>
      <w:pPr>
        <w:pStyle w:val="899"/>
        <w:ind w:left="900" w:hanging="900"/>
        <w:tabs>
          <w:tab w:val="num" w:pos="900" w:leader="none"/>
        </w:tabs>
      </w:pPr>
      <w:rPr>
        <w:rFonts w:hint="eastAsia"/>
      </w:rPr>
    </w:lvl>
    <w:lvl w:ilvl="8">
      <w:start w:val="1"/>
      <w:numFmt w:val="decimal"/>
      <w:isLgl w:val="false"/>
      <w:suff w:val="tab"/>
      <w:lvlText w:val="%1.%2.%3.%4.%5.%6.%7.%8.%9"/>
      <w:lvlJc w:val="left"/>
      <w:pPr>
        <w:pStyle w:val="899"/>
        <w:ind w:left="900" w:hanging="900"/>
        <w:tabs>
          <w:tab w:val="num" w:pos="900" w:leader="none"/>
        </w:tabs>
      </w:pPr>
      <w:rPr>
        <w:rFonts w:hint="eastAsia"/>
      </w:rPr>
    </w:lvl>
  </w:abstractNum>
  <w:abstractNum w:abstractNumId="7">
    <w:multiLevelType w:val="hybridMultilevel"/>
    <w:lvl w:ilvl="0">
      <w:start w:val="1"/>
      <w:numFmt w:val="decimal"/>
      <w:pStyle w:val="1012"/>
      <w:isLgl w:val="false"/>
      <w:suff w:val="tab"/>
      <w:lvlText w:val="%1)"/>
      <w:lvlJc w:val="left"/>
      <w:pPr>
        <w:pStyle w:val="899"/>
        <w:ind w:left="420" w:hanging="420"/>
      </w:pPr>
    </w:lvl>
    <w:lvl w:ilvl="1">
      <w:start w:val="1"/>
      <w:numFmt w:val="lowerLetter"/>
      <w:isLgl w:val="false"/>
      <w:suff w:val="tab"/>
      <w:lvlText w:val="%2)"/>
      <w:lvlJc w:val="left"/>
      <w:pPr>
        <w:pStyle w:val="899"/>
        <w:ind w:left="840" w:hanging="420"/>
      </w:pPr>
    </w:lvl>
    <w:lvl w:ilvl="2">
      <w:start w:val="1"/>
      <w:numFmt w:val="lowerRoman"/>
      <w:isLgl w:val="false"/>
      <w:suff w:val="tab"/>
      <w:lvlText w:val="%3."/>
      <w:lvlJc w:val="right"/>
      <w:pPr>
        <w:pStyle w:val="899"/>
        <w:ind w:left="1260" w:hanging="420"/>
      </w:pPr>
    </w:lvl>
    <w:lvl w:ilvl="3">
      <w:start w:val="1"/>
      <w:numFmt w:val="decimal"/>
      <w:isLgl w:val="false"/>
      <w:suff w:val="tab"/>
      <w:lvlText w:val="%4."/>
      <w:lvlJc w:val="left"/>
      <w:pPr>
        <w:pStyle w:val="899"/>
        <w:ind w:left="1680" w:hanging="420"/>
      </w:pPr>
    </w:lvl>
    <w:lvl w:ilvl="4">
      <w:start w:val="1"/>
      <w:numFmt w:val="lowerLetter"/>
      <w:isLgl w:val="false"/>
      <w:suff w:val="tab"/>
      <w:lvlText w:val="%5)"/>
      <w:lvlJc w:val="left"/>
      <w:pPr>
        <w:pStyle w:val="899"/>
        <w:ind w:left="2100" w:hanging="420"/>
      </w:pPr>
    </w:lvl>
    <w:lvl w:ilvl="5">
      <w:start w:val="1"/>
      <w:numFmt w:val="lowerRoman"/>
      <w:isLgl w:val="false"/>
      <w:suff w:val="tab"/>
      <w:lvlText w:val="%6."/>
      <w:lvlJc w:val="right"/>
      <w:pPr>
        <w:pStyle w:val="899"/>
        <w:ind w:left="2520" w:hanging="420"/>
      </w:pPr>
    </w:lvl>
    <w:lvl w:ilvl="6">
      <w:start w:val="1"/>
      <w:numFmt w:val="decimal"/>
      <w:isLgl w:val="false"/>
      <w:suff w:val="tab"/>
      <w:lvlText w:val="%7."/>
      <w:lvlJc w:val="left"/>
      <w:pPr>
        <w:pStyle w:val="899"/>
        <w:ind w:left="2940" w:hanging="420"/>
      </w:pPr>
    </w:lvl>
    <w:lvl w:ilvl="7">
      <w:start w:val="1"/>
      <w:numFmt w:val="lowerLetter"/>
      <w:isLgl w:val="false"/>
      <w:suff w:val="tab"/>
      <w:lvlText w:val="%8)"/>
      <w:lvlJc w:val="left"/>
      <w:pPr>
        <w:pStyle w:val="899"/>
        <w:ind w:left="3360" w:hanging="420"/>
      </w:pPr>
    </w:lvl>
    <w:lvl w:ilvl="8">
      <w:start w:val="1"/>
      <w:numFmt w:val="lowerRoman"/>
      <w:isLgl w:val="false"/>
      <w:suff w:val="tab"/>
      <w:lvlText w:val="%9."/>
      <w:lvlJc w:val="right"/>
      <w:pPr>
        <w:pStyle w:val="899"/>
        <w:ind w:left="3780" w:hanging="420"/>
      </w:pPr>
    </w:lvl>
  </w:abstractNum>
  <w:abstractNum w:abstractNumId="8">
    <w:multiLevelType w:val="hybridMultilevel"/>
    <w:lvl w:ilvl="0">
      <w:start w:val="1"/>
      <w:numFmt w:val="bullet"/>
      <w:pStyle w:val="941"/>
      <w:isLgl w:val="false"/>
      <w:suff w:val="tab"/>
      <w:lvlText w:val=""/>
      <w:lvlJc w:val="left"/>
      <w:pPr>
        <w:pStyle w:val="899"/>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12"/>
      <w:isLgl w:val="false"/>
      <w:suff w:val="tab"/>
      <w:lvlText w:val="%1"/>
      <w:lvlJc w:val="left"/>
      <w:pPr>
        <w:pStyle w:val="899"/>
        <w:ind w:left="680" w:hanging="680"/>
      </w:pPr>
      <w:rPr>
        <w:rFonts w:hint="eastAsia" w:ascii="宋体" w:hAnsi="宋体" w:eastAsia="宋体"/>
      </w:rPr>
    </w:lvl>
    <w:lvl w:ilvl="1">
      <w:start w:val="1"/>
      <w:numFmt w:val="decimal"/>
      <w:pStyle w:val="1113"/>
      <w:isLgl w:val="false"/>
      <w:suff w:val="tab"/>
      <w:lvlText w:val="%1.%2"/>
      <w:lvlJc w:val="left"/>
      <w:pPr>
        <w:pStyle w:val="899"/>
        <w:ind w:left="851" w:hanging="851"/>
      </w:pPr>
      <w:rPr>
        <w:rFonts w:hint="eastAsia" w:ascii="宋体" w:hAnsi="宋体" w:eastAsia="宋体"/>
        <w:color w:val="000000"/>
      </w:rPr>
    </w:lvl>
    <w:lvl w:ilvl="2">
      <w:start w:val="1"/>
      <w:numFmt w:val="decimal"/>
      <w:pStyle w:val="1114"/>
      <w:isLgl w:val="false"/>
      <w:suff w:val="tab"/>
      <w:lvlText w:val="%1.%2.%3"/>
      <w:lvlJc w:val="left"/>
      <w:pPr>
        <w:pStyle w:val="899"/>
        <w:ind w:left="851" w:hanging="851"/>
      </w:pPr>
      <w:rPr>
        <w:rFonts w:hint="eastAsia"/>
      </w:rPr>
    </w:lvl>
    <w:lvl w:ilvl="3">
      <w:start w:val="1"/>
      <w:numFmt w:val="decimal"/>
      <w:isLgl w:val="false"/>
      <w:suff w:val="tab"/>
      <w:lvlText w:val="%1.%2.%3.%4"/>
      <w:lvlJc w:val="left"/>
      <w:pPr>
        <w:pStyle w:val="899"/>
        <w:ind w:left="680" w:hanging="680"/>
      </w:pPr>
      <w:rPr>
        <w:rFonts w:hint="eastAsia"/>
      </w:rPr>
    </w:lvl>
    <w:lvl w:ilvl="4">
      <w:start w:val="1"/>
      <w:numFmt w:val="decimal"/>
      <w:isLgl w:val="false"/>
      <w:suff w:val="tab"/>
      <w:lvlText w:val="%1.%2.%3.%4.%5"/>
      <w:lvlJc w:val="left"/>
      <w:pPr>
        <w:pStyle w:val="899"/>
        <w:ind w:left="680" w:hanging="680"/>
      </w:pPr>
      <w:rPr>
        <w:rFonts w:hint="eastAsia"/>
      </w:rPr>
    </w:lvl>
    <w:lvl w:ilvl="5">
      <w:start w:val="1"/>
      <w:numFmt w:val="decimal"/>
      <w:isLgl w:val="false"/>
      <w:suff w:val="tab"/>
      <w:lvlText w:val="%1.%2.%3.%4.%5.%6"/>
      <w:lvlJc w:val="left"/>
      <w:pPr>
        <w:pStyle w:val="899"/>
        <w:ind w:left="680" w:hanging="680"/>
      </w:pPr>
      <w:rPr>
        <w:rFonts w:hint="eastAsia"/>
      </w:rPr>
    </w:lvl>
    <w:lvl w:ilvl="6">
      <w:start w:val="1"/>
      <w:numFmt w:val="decimal"/>
      <w:isLgl w:val="false"/>
      <w:suff w:val="tab"/>
      <w:lvlText w:val="%1.%2.%3.%4.%5.%6.%7"/>
      <w:lvlJc w:val="left"/>
      <w:pPr>
        <w:pStyle w:val="899"/>
        <w:ind w:left="680" w:hanging="680"/>
      </w:pPr>
      <w:rPr>
        <w:rFonts w:hint="eastAsia"/>
      </w:rPr>
    </w:lvl>
    <w:lvl w:ilvl="7">
      <w:start w:val="1"/>
      <w:numFmt w:val="decimal"/>
      <w:isLgl w:val="false"/>
      <w:suff w:val="tab"/>
      <w:lvlText w:val="%1.%2.%3.%4.%5.%6.%7.%8"/>
      <w:lvlJc w:val="left"/>
      <w:pPr>
        <w:pStyle w:val="899"/>
        <w:ind w:left="680" w:hanging="680"/>
      </w:pPr>
      <w:rPr>
        <w:rFonts w:hint="eastAsia"/>
      </w:rPr>
    </w:lvl>
    <w:lvl w:ilvl="8">
      <w:start w:val="1"/>
      <w:numFmt w:val="decimal"/>
      <w:isLgl w:val="false"/>
      <w:suff w:val="tab"/>
      <w:lvlText w:val="%1.%2.%3.%4.%5.%6.%7.%8.%9"/>
      <w:lvlJc w:val="left"/>
      <w:pPr>
        <w:pStyle w:val="899"/>
        <w:ind w:left="680" w:hanging="680"/>
      </w:pPr>
      <w:rPr>
        <w:rFonts w:hint="eastAsia"/>
      </w:rPr>
    </w:lvl>
  </w:abstractNum>
  <w:abstractNum w:abstractNumId="10">
    <w:multiLevelType w:val="hybridMultilevel"/>
    <w:lvl w:ilvl="0">
      <w:start w:val="1"/>
      <w:numFmt w:val="decimal"/>
      <w:isLgl w:val="false"/>
      <w:suff w:val="tab"/>
      <w:lvlText w:val="%1"/>
      <w:lvlJc w:val="left"/>
      <w:pPr>
        <w:pStyle w:val="899"/>
        <w:ind w:left="900" w:hanging="900"/>
        <w:tabs>
          <w:tab w:val="num" w:pos="900" w:leader="none"/>
        </w:tabs>
      </w:pPr>
      <w:rPr>
        <w:rFonts w:hint="eastAsia"/>
      </w:rPr>
    </w:lvl>
    <w:lvl w:ilvl="1">
      <w:start w:val="1"/>
      <w:numFmt w:val="decimal"/>
      <w:isLgl w:val="false"/>
      <w:suff w:val="tab"/>
      <w:lvlText w:val="%1.%2"/>
      <w:lvlJc w:val="left"/>
      <w:pPr>
        <w:pStyle w:val="899"/>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99"/>
        <w:ind w:left="1980" w:hanging="900"/>
        <w:tabs>
          <w:tab w:val="num" w:pos="1980" w:leader="none"/>
        </w:tabs>
      </w:pPr>
      <w:rPr>
        <w:rFonts w:hint="eastAsia"/>
      </w:rPr>
    </w:lvl>
    <w:lvl w:ilvl="3">
      <w:start w:val="1"/>
      <w:numFmt w:val="decimal"/>
      <w:isLgl w:val="false"/>
      <w:suff w:val="tab"/>
      <w:lvlText w:val="%1.%2.%3.%4"/>
      <w:lvlJc w:val="left"/>
      <w:pPr>
        <w:pStyle w:val="899"/>
        <w:ind w:left="900" w:hanging="900"/>
        <w:tabs>
          <w:tab w:val="num" w:pos="900" w:leader="none"/>
        </w:tabs>
      </w:pPr>
      <w:rPr>
        <w:rFonts w:hint="eastAsia"/>
      </w:rPr>
    </w:lvl>
    <w:lvl w:ilvl="4">
      <w:start w:val="1"/>
      <w:numFmt w:val="decimal"/>
      <w:isLgl w:val="false"/>
      <w:suff w:val="tab"/>
      <w:lvlText w:val="%1.%2.%3.%4.%5"/>
      <w:lvlJc w:val="left"/>
      <w:pPr>
        <w:pStyle w:val="899"/>
        <w:ind w:left="900" w:hanging="900"/>
        <w:tabs>
          <w:tab w:val="num" w:pos="900" w:leader="none"/>
        </w:tabs>
      </w:pPr>
      <w:rPr>
        <w:rFonts w:hint="eastAsia"/>
      </w:rPr>
    </w:lvl>
    <w:lvl w:ilvl="5">
      <w:start w:val="1"/>
      <w:numFmt w:val="decimal"/>
      <w:isLgl w:val="false"/>
      <w:suff w:val="tab"/>
      <w:lvlText w:val="%1.%2.%3.%4.%5.%6"/>
      <w:lvlJc w:val="left"/>
      <w:pPr>
        <w:pStyle w:val="899"/>
        <w:ind w:left="900" w:hanging="900"/>
        <w:tabs>
          <w:tab w:val="num" w:pos="900" w:leader="none"/>
        </w:tabs>
      </w:pPr>
      <w:rPr>
        <w:rFonts w:hint="eastAsia"/>
      </w:rPr>
    </w:lvl>
    <w:lvl w:ilvl="6">
      <w:start w:val="1"/>
      <w:numFmt w:val="decimal"/>
      <w:isLgl w:val="false"/>
      <w:suff w:val="tab"/>
      <w:lvlText w:val="%1.%2.%3.%4.%5.%6.%7"/>
      <w:lvlJc w:val="left"/>
      <w:pPr>
        <w:pStyle w:val="899"/>
        <w:ind w:left="900" w:hanging="900"/>
        <w:tabs>
          <w:tab w:val="num" w:pos="900" w:leader="none"/>
        </w:tabs>
      </w:pPr>
      <w:rPr>
        <w:rFonts w:hint="eastAsia"/>
      </w:rPr>
    </w:lvl>
    <w:lvl w:ilvl="7">
      <w:start w:val="1"/>
      <w:numFmt w:val="decimal"/>
      <w:isLgl w:val="false"/>
      <w:suff w:val="tab"/>
      <w:lvlText w:val="%1.%2.%3.%4.%5.%6.%7.%8"/>
      <w:lvlJc w:val="left"/>
      <w:pPr>
        <w:pStyle w:val="899"/>
        <w:ind w:left="900" w:hanging="900"/>
        <w:tabs>
          <w:tab w:val="num" w:pos="900" w:leader="none"/>
        </w:tabs>
      </w:pPr>
      <w:rPr>
        <w:rFonts w:hint="eastAsia"/>
      </w:rPr>
    </w:lvl>
    <w:lvl w:ilvl="8">
      <w:start w:val="1"/>
      <w:numFmt w:val="decimal"/>
      <w:isLgl w:val="false"/>
      <w:suff w:val="tab"/>
      <w:lvlText w:val="%1.%2.%3.%4.%5.%6.%7.%8.%9"/>
      <w:lvlJc w:val="left"/>
      <w:pPr>
        <w:pStyle w:val="899"/>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99"/>
        <w:ind w:left="900" w:hanging="900"/>
        <w:tabs>
          <w:tab w:val="num" w:pos="900" w:leader="none"/>
        </w:tabs>
      </w:pPr>
      <w:rPr>
        <w:rFonts w:hint="eastAsia"/>
      </w:rPr>
    </w:lvl>
    <w:lvl w:ilvl="1">
      <w:start w:val="1"/>
      <w:numFmt w:val="decimal"/>
      <w:isLgl w:val="false"/>
      <w:suff w:val="tab"/>
      <w:lvlText w:val="%1.%2"/>
      <w:lvlJc w:val="left"/>
      <w:pPr>
        <w:pStyle w:val="89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99"/>
        <w:ind w:left="1980" w:hanging="900"/>
        <w:tabs>
          <w:tab w:val="num" w:pos="1980" w:leader="none"/>
        </w:tabs>
      </w:pPr>
      <w:rPr>
        <w:rFonts w:hint="eastAsia"/>
      </w:rPr>
    </w:lvl>
    <w:lvl w:ilvl="3">
      <w:start w:val="1"/>
      <w:numFmt w:val="decimal"/>
      <w:isLgl w:val="false"/>
      <w:suff w:val="tab"/>
      <w:lvlText w:val="%1.%2.%3.%4"/>
      <w:lvlJc w:val="left"/>
      <w:pPr>
        <w:pStyle w:val="899"/>
        <w:ind w:left="900" w:hanging="900"/>
        <w:tabs>
          <w:tab w:val="num" w:pos="900" w:leader="none"/>
        </w:tabs>
      </w:pPr>
      <w:rPr>
        <w:rFonts w:hint="eastAsia"/>
      </w:rPr>
    </w:lvl>
    <w:lvl w:ilvl="4">
      <w:start w:val="1"/>
      <w:numFmt w:val="decimal"/>
      <w:isLgl w:val="false"/>
      <w:suff w:val="tab"/>
      <w:lvlText w:val="%1.%2.%3.%4.%5"/>
      <w:lvlJc w:val="left"/>
      <w:pPr>
        <w:pStyle w:val="899"/>
        <w:ind w:left="900" w:hanging="900"/>
        <w:tabs>
          <w:tab w:val="num" w:pos="900" w:leader="none"/>
        </w:tabs>
      </w:pPr>
      <w:rPr>
        <w:rFonts w:hint="eastAsia"/>
      </w:rPr>
    </w:lvl>
    <w:lvl w:ilvl="5">
      <w:start w:val="1"/>
      <w:numFmt w:val="decimal"/>
      <w:isLgl w:val="false"/>
      <w:suff w:val="tab"/>
      <w:lvlText w:val="%1.%2.%3.%4.%5.%6"/>
      <w:lvlJc w:val="left"/>
      <w:pPr>
        <w:pStyle w:val="899"/>
        <w:ind w:left="900" w:hanging="900"/>
        <w:tabs>
          <w:tab w:val="num" w:pos="900" w:leader="none"/>
        </w:tabs>
      </w:pPr>
      <w:rPr>
        <w:rFonts w:hint="eastAsia"/>
      </w:rPr>
    </w:lvl>
    <w:lvl w:ilvl="6">
      <w:start w:val="1"/>
      <w:numFmt w:val="decimal"/>
      <w:isLgl w:val="false"/>
      <w:suff w:val="tab"/>
      <w:lvlText w:val="%1.%2.%3.%4.%5.%6.%7"/>
      <w:lvlJc w:val="left"/>
      <w:pPr>
        <w:pStyle w:val="899"/>
        <w:ind w:left="900" w:hanging="900"/>
        <w:tabs>
          <w:tab w:val="num" w:pos="900" w:leader="none"/>
        </w:tabs>
      </w:pPr>
      <w:rPr>
        <w:rFonts w:hint="eastAsia"/>
      </w:rPr>
    </w:lvl>
    <w:lvl w:ilvl="7">
      <w:start w:val="1"/>
      <w:numFmt w:val="decimal"/>
      <w:isLgl w:val="false"/>
      <w:suff w:val="tab"/>
      <w:lvlText w:val="%1.%2.%3.%4.%5.%6.%7.%8"/>
      <w:lvlJc w:val="left"/>
      <w:pPr>
        <w:pStyle w:val="899"/>
        <w:ind w:left="900" w:hanging="900"/>
        <w:tabs>
          <w:tab w:val="num" w:pos="900" w:leader="none"/>
        </w:tabs>
      </w:pPr>
      <w:rPr>
        <w:rFonts w:hint="eastAsia"/>
      </w:rPr>
    </w:lvl>
    <w:lvl w:ilvl="8">
      <w:start w:val="1"/>
      <w:numFmt w:val="decimal"/>
      <w:isLgl w:val="false"/>
      <w:suff w:val="tab"/>
      <w:lvlText w:val="%1.%2.%3.%4.%5.%6.%7.%8.%9"/>
      <w:lvlJc w:val="left"/>
      <w:pPr>
        <w:pStyle w:val="899"/>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4">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15">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num w:numId="1">
    <w:abstractNumId w:val="8"/>
  </w:num>
  <w:num w:numId="2">
    <w:abstractNumId w:val="4"/>
  </w:num>
  <w:num w:numId="3">
    <w:abstractNumId w:val="1"/>
  </w:num>
  <w:num w:numId="4">
    <w:abstractNumId w:val="7"/>
  </w:num>
  <w:num w:numId="5">
    <w:abstractNumId w:val="5"/>
  </w:num>
  <w:num w:numId="6">
    <w:abstractNumId w:val="3"/>
  </w:num>
  <w:num w:numId="7">
    <w:abstractNumId w:val="2"/>
  </w:num>
  <w:num w:numId="8">
    <w:abstractNumId w:val="9"/>
  </w:num>
  <w:num w:numId="9">
    <w:abstractNumId w:val="6"/>
  </w:num>
  <w:num w:numId="10">
    <w:abstractNumId w:val="11"/>
  </w:num>
  <w:num w:numId="11">
    <w:abstractNumId w:val="0"/>
  </w:num>
  <w:num w:numId="12">
    <w:abstractNumId w:val="10"/>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899"/>
    <w:link w:val="899"/>
    <w:qFormat/>
    <w:pPr>
      <w:jc w:val="both"/>
      <w:widowControl w:val="off"/>
    </w:pPr>
    <w:rPr>
      <w:sz w:val="21"/>
      <w:szCs w:val="24"/>
      <w:lang w:val="en-US" w:eastAsia="zh-CN" w:bidi="ar-SA"/>
    </w:rPr>
  </w:style>
  <w:style w:type="paragraph" w:styleId="900">
    <w:name w:val="标题 1"/>
    <w:basedOn w:val="899"/>
    <w:next w:val="899"/>
    <w:link w:val="911"/>
    <w:qFormat/>
    <w:pPr>
      <w:jc w:val="center"/>
      <w:keepLines/>
      <w:keepNext/>
      <w:spacing w:before="240" w:after="120" w:line="300" w:lineRule="auto"/>
      <w:outlineLvl w:val="0"/>
    </w:pPr>
    <w:rPr>
      <w:rFonts w:ascii="宋体"/>
      <w:b/>
      <w:sz w:val="32"/>
      <w:szCs w:val="20"/>
    </w:rPr>
  </w:style>
  <w:style w:type="paragraph" w:styleId="901">
    <w:name w:val="标题 2"/>
    <w:basedOn w:val="899"/>
    <w:next w:val="913"/>
    <w:link w:val="912"/>
    <w:qFormat/>
    <w:pPr>
      <w:jc w:val="center"/>
      <w:keepLines/>
      <w:keepNext/>
      <w:spacing w:before="120" w:line="300" w:lineRule="auto"/>
      <w:outlineLvl w:val="1"/>
    </w:pPr>
    <w:rPr>
      <w:rFonts w:ascii="Arial" w:hAnsi="Arial" w:eastAsia="黑体"/>
      <w:b/>
      <w:sz w:val="30"/>
      <w:szCs w:val="20"/>
    </w:rPr>
  </w:style>
  <w:style w:type="paragraph" w:styleId="902">
    <w:name w:val="标题 3"/>
    <w:basedOn w:val="899"/>
    <w:next w:val="913"/>
    <w:link w:val="915"/>
    <w:qFormat/>
    <w:pPr>
      <w:jc w:val="left"/>
      <w:keepLines/>
      <w:keepNext/>
      <w:spacing w:before="360" w:after="120"/>
      <w:outlineLvl w:val="2"/>
    </w:pPr>
    <w:rPr>
      <w:rFonts w:ascii="宋体"/>
      <w:b/>
      <w:sz w:val="24"/>
      <w:szCs w:val="20"/>
      <w:u w:val="single"/>
    </w:rPr>
  </w:style>
  <w:style w:type="paragraph" w:styleId="903">
    <w:name w:val="标题 4"/>
    <w:basedOn w:val="899"/>
    <w:next w:val="899"/>
    <w:link w:val="916"/>
    <w:qFormat/>
    <w:pPr>
      <w:keepLines/>
      <w:keepNext/>
      <w:spacing w:before="280" w:after="290" w:line="376" w:lineRule="atLeast"/>
      <w:outlineLvl w:val="3"/>
    </w:pPr>
    <w:rPr>
      <w:rFonts w:ascii="Arial" w:hAnsi="Arial" w:eastAsia="黑体"/>
      <w:b/>
      <w:sz w:val="28"/>
      <w:szCs w:val="20"/>
    </w:rPr>
  </w:style>
  <w:style w:type="paragraph" w:styleId="904">
    <w:name w:val="标题 5"/>
    <w:basedOn w:val="899"/>
    <w:next w:val="899"/>
    <w:link w:val="917"/>
    <w:qFormat/>
    <w:pPr>
      <w:keepLines/>
      <w:keepNext/>
      <w:spacing w:before="280" w:after="290" w:line="376" w:lineRule="atLeast"/>
      <w:outlineLvl w:val="4"/>
    </w:pPr>
    <w:rPr>
      <w:b/>
      <w:sz w:val="28"/>
      <w:szCs w:val="20"/>
    </w:rPr>
  </w:style>
  <w:style w:type="paragraph" w:styleId="905">
    <w:name w:val="标题 6"/>
    <w:basedOn w:val="899"/>
    <w:next w:val="899"/>
    <w:link w:val="918"/>
    <w:qFormat/>
    <w:pPr>
      <w:keepLines/>
      <w:keepNext/>
      <w:spacing w:before="240" w:after="64" w:line="320" w:lineRule="atLeast"/>
      <w:outlineLvl w:val="5"/>
    </w:pPr>
    <w:rPr>
      <w:rFonts w:ascii="Arial" w:hAnsi="Arial" w:eastAsia="黑体"/>
      <w:b/>
      <w:sz w:val="24"/>
      <w:szCs w:val="20"/>
    </w:rPr>
  </w:style>
  <w:style w:type="paragraph" w:styleId="906">
    <w:name w:val="标题 7"/>
    <w:basedOn w:val="899"/>
    <w:next w:val="899"/>
    <w:link w:val="919"/>
    <w:qFormat/>
    <w:pPr>
      <w:keepLines/>
      <w:keepNext/>
      <w:spacing w:before="240" w:after="64" w:line="320" w:lineRule="atLeast"/>
      <w:outlineLvl w:val="6"/>
    </w:pPr>
    <w:rPr>
      <w:b/>
      <w:sz w:val="24"/>
      <w:szCs w:val="20"/>
    </w:rPr>
  </w:style>
  <w:style w:type="paragraph" w:styleId="907">
    <w:name w:val="标题 8"/>
    <w:basedOn w:val="899"/>
    <w:next w:val="899"/>
    <w:link w:val="920"/>
    <w:qFormat/>
    <w:pPr>
      <w:keepLines/>
      <w:keepNext/>
      <w:spacing w:before="240" w:after="64" w:line="320" w:lineRule="atLeast"/>
      <w:outlineLvl w:val="7"/>
    </w:pPr>
    <w:rPr>
      <w:rFonts w:ascii="Arial" w:hAnsi="Arial" w:eastAsia="黑体"/>
      <w:sz w:val="24"/>
      <w:szCs w:val="20"/>
    </w:rPr>
  </w:style>
  <w:style w:type="paragraph" w:styleId="908">
    <w:name w:val="标题 9"/>
    <w:basedOn w:val="899"/>
    <w:next w:val="899"/>
    <w:link w:val="921"/>
    <w:qFormat/>
    <w:pPr>
      <w:keepLines/>
      <w:keepNext/>
      <w:spacing w:before="240" w:after="64" w:line="320" w:lineRule="atLeast"/>
      <w:outlineLvl w:val="8"/>
    </w:pPr>
    <w:rPr>
      <w:rFonts w:ascii="Arial" w:hAnsi="Arial" w:eastAsia="黑体"/>
      <w:szCs w:val="20"/>
    </w:rPr>
  </w:style>
  <w:style w:type="character" w:styleId="909">
    <w:name w:val="默认段落字体"/>
    <w:next w:val="909"/>
    <w:link w:val="899"/>
    <w:uiPriority w:val="1"/>
    <w:unhideWhenUsed/>
    <w:qFormat/>
  </w:style>
  <w:style w:type="table" w:styleId="910">
    <w:name w:val="普通表格"/>
    <w:next w:val="910"/>
    <w:link w:val="899"/>
    <w:uiPriority w:val="99"/>
    <w:unhideWhenUsed/>
    <w:qFormat/>
    <w:tblPr/>
  </w:style>
  <w:style w:type="character" w:styleId="911">
    <w:name w:val="标题 1 字符"/>
    <w:next w:val="911"/>
    <w:link w:val="900"/>
    <w:qFormat/>
    <w:rPr>
      <w:rFonts w:ascii="宋体"/>
      <w:b/>
      <w:sz w:val="32"/>
    </w:rPr>
  </w:style>
  <w:style w:type="character" w:styleId="912">
    <w:name w:val="标题 2 字符"/>
    <w:next w:val="912"/>
    <w:link w:val="901"/>
    <w:qFormat/>
    <w:rPr>
      <w:rFonts w:ascii="Arial" w:hAnsi="Arial" w:eastAsia="黑体"/>
      <w:b/>
      <w:sz w:val="30"/>
      <w:lang w:val="en-US" w:eastAsia="zh-CN" w:bidi="ar-SA"/>
    </w:rPr>
  </w:style>
  <w:style w:type="paragraph" w:styleId="913">
    <w:name w:val="正文缩进"/>
    <w:basedOn w:val="899"/>
    <w:next w:val="899"/>
    <w:link w:val="914"/>
    <w:qFormat/>
    <w:pPr>
      <w:ind w:firstLine="420"/>
      <w:jc w:val="left"/>
    </w:pPr>
    <w:rPr>
      <w:rFonts w:ascii="宋体"/>
      <w:sz w:val="24"/>
    </w:rPr>
  </w:style>
  <w:style w:type="character" w:styleId="914">
    <w:name w:val="正文缩进 字符"/>
    <w:next w:val="914"/>
    <w:link w:val="913"/>
    <w:qFormat/>
    <w:rPr>
      <w:rFonts w:ascii="宋体" w:eastAsia="宋体"/>
      <w:sz w:val="24"/>
      <w:szCs w:val="24"/>
      <w:lang w:val="en-US" w:eastAsia="zh-CN" w:bidi="ar-SA"/>
    </w:rPr>
  </w:style>
  <w:style w:type="character" w:styleId="915">
    <w:name w:val="标题 3 字符"/>
    <w:next w:val="915"/>
    <w:link w:val="902"/>
    <w:qFormat/>
    <w:rPr>
      <w:rFonts w:ascii="宋体" w:eastAsia="宋体"/>
      <w:b/>
      <w:sz w:val="24"/>
      <w:u w:val="single"/>
      <w:lang w:val="en-US" w:eastAsia="zh-CN" w:bidi="ar-SA"/>
    </w:rPr>
  </w:style>
  <w:style w:type="character" w:styleId="916">
    <w:name w:val="标题 4 字符"/>
    <w:next w:val="916"/>
    <w:link w:val="903"/>
    <w:qFormat/>
    <w:rPr>
      <w:rFonts w:ascii="Arial" w:hAnsi="Arial" w:eastAsia="黑体"/>
      <w:b/>
      <w:sz w:val="28"/>
    </w:rPr>
  </w:style>
  <w:style w:type="character" w:styleId="917">
    <w:name w:val="标题 5 字符"/>
    <w:next w:val="917"/>
    <w:link w:val="904"/>
    <w:qFormat/>
    <w:rPr>
      <w:b/>
      <w:sz w:val="28"/>
    </w:rPr>
  </w:style>
  <w:style w:type="character" w:styleId="918">
    <w:name w:val="标题 6 字符"/>
    <w:next w:val="918"/>
    <w:link w:val="905"/>
    <w:qFormat/>
    <w:rPr>
      <w:rFonts w:ascii="Arial" w:hAnsi="Arial" w:eastAsia="黑体"/>
      <w:b/>
      <w:sz w:val="24"/>
    </w:rPr>
  </w:style>
  <w:style w:type="character" w:styleId="919">
    <w:name w:val="标题 7 字符"/>
    <w:next w:val="919"/>
    <w:link w:val="906"/>
    <w:qFormat/>
    <w:rPr>
      <w:b/>
      <w:sz w:val="24"/>
    </w:rPr>
  </w:style>
  <w:style w:type="character" w:styleId="920">
    <w:name w:val="标题 8 字符"/>
    <w:next w:val="920"/>
    <w:link w:val="907"/>
    <w:qFormat/>
    <w:rPr>
      <w:rFonts w:ascii="Arial" w:hAnsi="Arial" w:eastAsia="黑体"/>
      <w:sz w:val="24"/>
    </w:rPr>
  </w:style>
  <w:style w:type="character" w:styleId="921">
    <w:name w:val="标题 9 字符"/>
    <w:next w:val="921"/>
    <w:link w:val="908"/>
    <w:qFormat/>
    <w:rPr>
      <w:rFonts w:ascii="Arial" w:hAnsi="Arial" w:eastAsia="黑体"/>
      <w:sz w:val="21"/>
    </w:rPr>
  </w:style>
  <w:style w:type="paragraph" w:styleId="922">
    <w:name w:val="目录 7"/>
    <w:basedOn w:val="899"/>
    <w:next w:val="899"/>
    <w:link w:val="899"/>
    <w:qFormat/>
    <w:pPr>
      <w:ind w:left="2520"/>
    </w:pPr>
  </w:style>
  <w:style w:type="paragraph" w:styleId="923">
    <w:name w:val="引文目录"/>
    <w:basedOn w:val="899"/>
    <w:next w:val="899"/>
    <w:link w:val="899"/>
    <w:uiPriority w:val="99"/>
    <w:unhideWhenUsed/>
    <w:qFormat/>
    <w:pPr>
      <w:ind w:left="420"/>
    </w:pPr>
    <w:rPr>
      <w:rFonts w:ascii="Calibri" w:hAnsi="Calibri"/>
    </w:rPr>
  </w:style>
  <w:style w:type="paragraph" w:styleId="924">
    <w:name w:val="题注"/>
    <w:basedOn w:val="899"/>
    <w:next w:val="899"/>
    <w:link w:val="899"/>
    <w:qFormat/>
    <w:pPr>
      <w:spacing w:line="480" w:lineRule="auto"/>
    </w:pPr>
    <w:rPr>
      <w:rFonts w:ascii="华文中宋" w:hAnsi="华文中宋" w:eastAsia="华文中宋"/>
      <w:sz w:val="36"/>
      <w:szCs w:val="20"/>
    </w:rPr>
  </w:style>
  <w:style w:type="paragraph" w:styleId="925">
    <w:name w:val="文档结构图"/>
    <w:basedOn w:val="899"/>
    <w:next w:val="925"/>
    <w:link w:val="926"/>
    <w:qFormat/>
    <w:pPr>
      <w:shd w:val="clear" w:color="auto" w:fill="000080"/>
    </w:pPr>
  </w:style>
  <w:style w:type="character" w:styleId="926">
    <w:name w:val="文档结构图 字符"/>
    <w:next w:val="926"/>
    <w:link w:val="925"/>
    <w:qFormat/>
    <w:rPr>
      <w:sz w:val="21"/>
      <w:szCs w:val="24"/>
      <w:shd w:val="clear" w:color="auto" w:fill="000080"/>
    </w:rPr>
  </w:style>
  <w:style w:type="paragraph" w:styleId="927">
    <w:name w:val="批注文字"/>
    <w:basedOn w:val="899"/>
    <w:next w:val="927"/>
    <w:link w:val="928"/>
    <w:uiPriority w:val="99"/>
    <w:qFormat/>
    <w:pPr>
      <w:jc w:val="left"/>
    </w:pPr>
  </w:style>
  <w:style w:type="character" w:styleId="928">
    <w:name w:val="批注文字 字符1"/>
    <w:next w:val="928"/>
    <w:link w:val="927"/>
    <w:uiPriority w:val="99"/>
    <w:qFormat/>
    <w:rPr>
      <w:sz w:val="21"/>
      <w:szCs w:val="24"/>
    </w:rPr>
  </w:style>
  <w:style w:type="paragraph" w:styleId="929">
    <w:name w:val="正文文本 3"/>
    <w:basedOn w:val="899"/>
    <w:next w:val="929"/>
    <w:link w:val="930"/>
    <w:qFormat/>
    <w:pPr>
      <w:spacing w:after="120"/>
    </w:pPr>
    <w:rPr>
      <w:sz w:val="16"/>
      <w:szCs w:val="16"/>
    </w:rPr>
  </w:style>
  <w:style w:type="character" w:styleId="930">
    <w:name w:val="正文文本 3 字符"/>
    <w:next w:val="930"/>
    <w:link w:val="929"/>
    <w:qFormat/>
    <w:rPr>
      <w:sz w:val="16"/>
      <w:szCs w:val="16"/>
    </w:rPr>
  </w:style>
  <w:style w:type="paragraph" w:styleId="931">
    <w:name w:val="正文文本"/>
    <w:basedOn w:val="899"/>
    <w:next w:val="899"/>
    <w:link w:val="932"/>
    <w:qFormat/>
    <w:pPr>
      <w:spacing w:before="120" w:line="22" w:lineRule="atLeast"/>
      <w:tabs>
        <w:tab w:val="left" w:pos="567" w:leader="none"/>
      </w:tabs>
    </w:pPr>
    <w:rPr>
      <w:rFonts w:ascii="宋体" w:hAnsi="宋体"/>
      <w:sz w:val="24"/>
    </w:rPr>
  </w:style>
  <w:style w:type="character" w:styleId="932">
    <w:name w:val="正文文本 字符"/>
    <w:next w:val="932"/>
    <w:link w:val="931"/>
    <w:qFormat/>
    <w:rPr>
      <w:rFonts w:ascii="宋体" w:hAnsi="宋体"/>
      <w:sz w:val="24"/>
      <w:szCs w:val="24"/>
    </w:rPr>
  </w:style>
  <w:style w:type="paragraph" w:styleId="933">
    <w:name w:val="正文文本缩进"/>
    <w:basedOn w:val="899"/>
    <w:next w:val="899"/>
    <w:link w:val="934"/>
    <w:qFormat/>
    <w:pPr>
      <w:ind w:firstLine="570"/>
      <w:spacing w:line="360" w:lineRule="auto"/>
    </w:pPr>
    <w:rPr>
      <w:sz w:val="24"/>
    </w:rPr>
  </w:style>
  <w:style w:type="character" w:styleId="934">
    <w:name w:val="正文文本缩进 字符"/>
    <w:next w:val="934"/>
    <w:link w:val="933"/>
    <w:qFormat/>
    <w:rPr>
      <w:rFonts w:eastAsia="宋体"/>
      <w:sz w:val="24"/>
      <w:szCs w:val="24"/>
      <w:lang w:val="en-US" w:eastAsia="zh-CN" w:bidi="ar-SA"/>
    </w:rPr>
  </w:style>
  <w:style w:type="paragraph" w:styleId="935">
    <w:name w:val="列表 2"/>
    <w:basedOn w:val="899"/>
    <w:next w:val="935"/>
    <w:link w:val="899"/>
    <w:qFormat/>
    <w:pPr>
      <w:ind w:left="100" w:hanging="200"/>
    </w:pPr>
  </w:style>
  <w:style w:type="paragraph" w:styleId="936">
    <w:name w:val="文本块"/>
    <w:basedOn w:val="899"/>
    <w:next w:val="936"/>
    <w:link w:val="899"/>
    <w:qFormat/>
    <w:pPr>
      <w:ind w:left="480" w:right="-341" w:firstLine="513"/>
      <w:widowControl/>
    </w:pPr>
    <w:rPr>
      <w:sz w:val="24"/>
      <w:szCs w:val="20"/>
    </w:rPr>
  </w:style>
  <w:style w:type="paragraph" w:styleId="937">
    <w:name w:val="目录 5"/>
    <w:basedOn w:val="899"/>
    <w:next w:val="899"/>
    <w:link w:val="899"/>
    <w:qFormat/>
    <w:pPr>
      <w:ind w:left="1680"/>
    </w:pPr>
  </w:style>
  <w:style w:type="paragraph" w:styleId="938">
    <w:name w:val="目录 3"/>
    <w:basedOn w:val="899"/>
    <w:next w:val="899"/>
    <w:link w:val="899"/>
    <w:uiPriority w:val="39"/>
    <w:qFormat/>
    <w:pPr>
      <w:ind w:left="840"/>
    </w:pPr>
  </w:style>
  <w:style w:type="paragraph" w:styleId="939">
    <w:name w:val="纯文本"/>
    <w:basedOn w:val="899"/>
    <w:next w:val="939"/>
    <w:link w:val="940"/>
    <w:qFormat/>
    <w:rPr>
      <w:rFonts w:hint="eastAsia" w:ascii="宋体" w:hAnsi="Courier New"/>
      <w:szCs w:val="20"/>
    </w:rPr>
  </w:style>
  <w:style w:type="character" w:styleId="940">
    <w:name w:val="纯文本 字符2"/>
    <w:next w:val="940"/>
    <w:link w:val="939"/>
    <w:qFormat/>
    <w:rPr>
      <w:rFonts w:hint="eastAsia" w:ascii="宋体" w:hAnsi="Courier New" w:eastAsia="宋体" w:cs="宋体"/>
      <w:sz w:val="21"/>
    </w:rPr>
  </w:style>
  <w:style w:type="paragraph" w:styleId="941">
    <w:name w:val="列表项目符号 5"/>
    <w:basedOn w:val="899"/>
    <w:next w:val="941"/>
    <w:link w:val="899"/>
    <w:pPr>
      <w:numPr>
        <w:ilvl w:val="0"/>
        <w:numId w:val="1"/>
      </w:numPr>
      <w:tabs>
        <w:tab w:val="left" w:pos="2040" w:leader="none"/>
      </w:tabs>
    </w:pPr>
  </w:style>
  <w:style w:type="paragraph" w:styleId="942">
    <w:name w:val="目录 8"/>
    <w:basedOn w:val="899"/>
    <w:next w:val="899"/>
    <w:link w:val="899"/>
    <w:qFormat/>
    <w:pPr>
      <w:ind w:left="2940"/>
    </w:pPr>
  </w:style>
  <w:style w:type="paragraph" w:styleId="943">
    <w:name w:val="日期"/>
    <w:basedOn w:val="899"/>
    <w:next w:val="899"/>
    <w:link w:val="944"/>
    <w:qFormat/>
    <w:pPr>
      <w:ind w:left="100"/>
    </w:pPr>
    <w:rPr>
      <w:rFonts w:ascii="FangSong_GB2312" w:hAnsi="宋体" w:eastAsia="FangSong_GB2312"/>
      <w:color w:val="000000"/>
      <w:sz w:val="24"/>
    </w:rPr>
  </w:style>
  <w:style w:type="character" w:styleId="944">
    <w:name w:val="日期 字符"/>
    <w:next w:val="944"/>
    <w:link w:val="943"/>
    <w:qFormat/>
    <w:rPr>
      <w:rFonts w:ascii="FangSong_GB2312" w:hAnsi="宋体" w:eastAsia="FangSong_GB2312"/>
      <w:color w:val="000000"/>
      <w:sz w:val="24"/>
      <w:szCs w:val="24"/>
    </w:rPr>
  </w:style>
  <w:style w:type="paragraph" w:styleId="945">
    <w:name w:val="正文文本缩进 2"/>
    <w:basedOn w:val="899"/>
    <w:next w:val="945"/>
    <w:link w:val="946"/>
    <w:qFormat/>
    <w:pPr>
      <w:ind w:firstLine="480"/>
    </w:pPr>
    <w:rPr>
      <w:rFonts w:ascii="FangSong_GB2312" w:eastAsia="FangSong_GB2312"/>
      <w:sz w:val="24"/>
    </w:rPr>
  </w:style>
  <w:style w:type="character" w:styleId="946">
    <w:name w:val="正文文本缩进 2 字符"/>
    <w:next w:val="946"/>
    <w:link w:val="945"/>
    <w:qFormat/>
    <w:rPr>
      <w:rFonts w:ascii="FangSong_GB2312" w:eastAsia="FangSong_GB2312"/>
      <w:sz w:val="24"/>
      <w:szCs w:val="24"/>
    </w:rPr>
  </w:style>
  <w:style w:type="paragraph" w:styleId="947">
    <w:name w:val="批注框文本"/>
    <w:basedOn w:val="899"/>
    <w:next w:val="947"/>
    <w:link w:val="948"/>
    <w:qFormat/>
    <w:rPr>
      <w:sz w:val="18"/>
      <w:szCs w:val="18"/>
    </w:rPr>
  </w:style>
  <w:style w:type="character" w:styleId="948">
    <w:name w:val="批注框文本 字符"/>
    <w:next w:val="948"/>
    <w:link w:val="947"/>
    <w:qFormat/>
    <w:rPr>
      <w:sz w:val="18"/>
      <w:szCs w:val="18"/>
    </w:rPr>
  </w:style>
  <w:style w:type="paragraph" w:styleId="949">
    <w:name w:val="页脚"/>
    <w:basedOn w:val="899"/>
    <w:next w:val="949"/>
    <w:link w:val="950"/>
    <w:uiPriority w:val="99"/>
    <w:qFormat/>
    <w:pPr>
      <w:jc w:val="left"/>
      <w:tabs>
        <w:tab w:val="center" w:pos="4153" w:leader="none"/>
        <w:tab w:val="right" w:pos="8306" w:leader="none"/>
      </w:tabs>
    </w:pPr>
    <w:rPr>
      <w:rFonts w:ascii="宋体"/>
      <w:sz w:val="18"/>
      <w:szCs w:val="20"/>
    </w:rPr>
  </w:style>
  <w:style w:type="character" w:styleId="950">
    <w:name w:val="页脚 字符"/>
    <w:next w:val="950"/>
    <w:link w:val="949"/>
    <w:uiPriority w:val="99"/>
    <w:qFormat/>
    <w:rPr>
      <w:rFonts w:ascii="宋体" w:eastAsia="宋体"/>
      <w:sz w:val="18"/>
      <w:lang w:val="en-US" w:eastAsia="zh-CN" w:bidi="ar-SA"/>
    </w:rPr>
  </w:style>
  <w:style w:type="paragraph" w:styleId="951">
    <w:name w:val="页眉"/>
    <w:basedOn w:val="899"/>
    <w:next w:val="951"/>
    <w:link w:val="952"/>
    <w:qFormat/>
    <w:pPr>
      <w:jc w:val="center"/>
      <w:tabs>
        <w:tab w:val="center" w:pos="4153" w:leader="none"/>
        <w:tab w:val="right" w:pos="8306" w:leader="none"/>
      </w:tabs>
      <w:pBdr>
        <w:bottom w:val="single" w:color="000000" w:sz="6" w:space="1"/>
      </w:pBdr>
    </w:pPr>
    <w:rPr>
      <w:sz w:val="18"/>
      <w:szCs w:val="18"/>
    </w:rPr>
  </w:style>
  <w:style w:type="character" w:styleId="952">
    <w:name w:val="页眉 字符"/>
    <w:next w:val="952"/>
    <w:link w:val="951"/>
    <w:qFormat/>
    <w:rPr>
      <w:rFonts w:eastAsia="宋体"/>
      <w:sz w:val="18"/>
      <w:szCs w:val="18"/>
      <w:lang w:val="en-US" w:eastAsia="zh-CN" w:bidi="ar-SA"/>
    </w:rPr>
  </w:style>
  <w:style w:type="paragraph" w:styleId="953">
    <w:name w:val="目录 1"/>
    <w:basedOn w:val="899"/>
    <w:next w:val="899"/>
    <w:link w:val="899"/>
    <w:uiPriority w:val="39"/>
    <w:qFormat/>
    <w:pPr>
      <w:spacing w:line="300" w:lineRule="auto"/>
      <w:tabs>
        <w:tab w:val="left" w:pos="1050" w:leader="none"/>
        <w:tab w:val="right" w:pos="8937" w:leader="dot"/>
      </w:tabs>
    </w:pPr>
    <w:rPr>
      <w:rFonts w:ascii="宋体" w:hAnsi="宋体"/>
      <w:b/>
      <w:sz w:val="24"/>
    </w:rPr>
  </w:style>
  <w:style w:type="paragraph" w:styleId="954">
    <w:name w:val="目录 4"/>
    <w:basedOn w:val="899"/>
    <w:next w:val="899"/>
    <w:link w:val="899"/>
    <w:qFormat/>
    <w:pPr>
      <w:ind w:left="1260"/>
    </w:pPr>
  </w:style>
  <w:style w:type="paragraph" w:styleId="955">
    <w:name w:val="目录 6"/>
    <w:basedOn w:val="899"/>
    <w:next w:val="899"/>
    <w:link w:val="899"/>
    <w:qFormat/>
    <w:pPr>
      <w:ind w:left="2100"/>
    </w:pPr>
  </w:style>
  <w:style w:type="paragraph" w:styleId="956">
    <w:name w:val="正文文本缩进 3"/>
    <w:basedOn w:val="899"/>
    <w:next w:val="956"/>
    <w:link w:val="957"/>
    <w:qFormat/>
    <w:pPr>
      <w:ind w:left="720" w:firstLine="480"/>
      <w:jc w:val="left"/>
      <w:spacing w:before="120" w:line="22" w:lineRule="atLeast"/>
    </w:pPr>
    <w:rPr>
      <w:rFonts w:ascii="宋体"/>
      <w:sz w:val="24"/>
      <w:szCs w:val="20"/>
    </w:rPr>
  </w:style>
  <w:style w:type="character" w:styleId="957">
    <w:name w:val="正文文本缩进 3 字符"/>
    <w:next w:val="957"/>
    <w:link w:val="956"/>
    <w:qFormat/>
    <w:rPr>
      <w:rFonts w:ascii="宋体"/>
      <w:sz w:val="24"/>
    </w:rPr>
  </w:style>
  <w:style w:type="paragraph" w:styleId="958">
    <w:name w:val="目录 2"/>
    <w:basedOn w:val="899"/>
    <w:next w:val="899"/>
    <w:link w:val="899"/>
    <w:uiPriority w:val="39"/>
    <w:qFormat/>
    <w:pPr>
      <w:ind w:left="420"/>
      <w:spacing w:line="312" w:lineRule="auto"/>
      <w:tabs>
        <w:tab w:val="right" w:pos="8937" w:leader="dot"/>
      </w:tabs>
    </w:pPr>
  </w:style>
  <w:style w:type="paragraph" w:styleId="959">
    <w:name w:val="目录 9"/>
    <w:basedOn w:val="899"/>
    <w:next w:val="899"/>
    <w:link w:val="899"/>
    <w:qFormat/>
    <w:pPr>
      <w:ind w:left="3360"/>
    </w:pPr>
  </w:style>
  <w:style w:type="paragraph" w:styleId="960">
    <w:name w:val="HTML 预设格式"/>
    <w:basedOn w:val="899"/>
    <w:next w:val="960"/>
    <w:link w:val="96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1">
    <w:name w:val="HTML 预设格式 字符"/>
    <w:next w:val="961"/>
    <w:link w:val="960"/>
    <w:qFormat/>
    <w:rPr>
      <w:rFonts w:ascii="宋体" w:hAnsi="宋体" w:cs="宋体"/>
      <w:sz w:val="24"/>
      <w:szCs w:val="24"/>
    </w:rPr>
  </w:style>
  <w:style w:type="paragraph" w:styleId="962">
    <w:name w:val="普通(网站)"/>
    <w:basedOn w:val="899"/>
    <w:next w:val="962"/>
    <w:link w:val="899"/>
    <w:uiPriority w:val="99"/>
    <w:unhideWhenUsed/>
    <w:qFormat/>
    <w:pPr>
      <w:jc w:val="left"/>
      <w:spacing w:before="100" w:beforeAutospacing="1" w:after="100" w:afterAutospacing="1"/>
      <w:widowControl/>
    </w:pPr>
    <w:rPr>
      <w:rFonts w:ascii="宋体" w:hAnsi="宋体" w:cs="宋体"/>
      <w:sz w:val="24"/>
    </w:rPr>
  </w:style>
  <w:style w:type="paragraph" w:styleId="963">
    <w:name w:val="索引 1"/>
    <w:basedOn w:val="899"/>
    <w:next w:val="899"/>
    <w:link w:val="899"/>
    <w:qFormat/>
    <w:rPr>
      <w:szCs w:val="20"/>
    </w:rPr>
  </w:style>
  <w:style w:type="paragraph" w:styleId="964">
    <w:name w:val="标题"/>
    <w:basedOn w:val="899"/>
    <w:next w:val="964"/>
    <w:link w:val="965"/>
    <w:qFormat/>
    <w:pPr>
      <w:jc w:val="center"/>
      <w:outlineLvl w:val="0"/>
    </w:pPr>
    <w:rPr>
      <w:b/>
      <w:sz w:val="32"/>
      <w:szCs w:val="20"/>
    </w:rPr>
  </w:style>
  <w:style w:type="character" w:styleId="965">
    <w:name w:val="标题 字符"/>
    <w:next w:val="965"/>
    <w:link w:val="964"/>
    <w:qFormat/>
    <w:rPr>
      <w:b/>
      <w:sz w:val="32"/>
    </w:rPr>
  </w:style>
  <w:style w:type="paragraph" w:styleId="966">
    <w:name w:val="批注主题"/>
    <w:basedOn w:val="927"/>
    <w:next w:val="927"/>
    <w:link w:val="967"/>
    <w:qFormat/>
    <w:rPr>
      <w:b/>
      <w:bCs/>
    </w:rPr>
  </w:style>
  <w:style w:type="character" w:styleId="967">
    <w:name w:val="批注主题 字符"/>
    <w:next w:val="967"/>
    <w:link w:val="966"/>
    <w:qFormat/>
    <w:rPr>
      <w:rFonts w:ascii="Times New Roman" w:hAnsi="Times New Roman" w:eastAsia="宋体" w:cs="Times New Roman"/>
      <w:b/>
      <w:bCs/>
      <w:sz w:val="21"/>
      <w:szCs w:val="24"/>
      <w:lang w:val="en-US" w:eastAsia="zh-CN" w:bidi="ar-SA"/>
    </w:rPr>
  </w:style>
  <w:style w:type="paragraph" w:styleId="968">
    <w:name w:val="正文首行缩进 2"/>
    <w:basedOn w:val="933"/>
    <w:next w:val="899"/>
    <w:link w:val="969"/>
    <w:qFormat/>
    <w:pPr>
      <w:ind w:left="420" w:firstLine="420"/>
      <w:spacing w:after="120" w:line="480" w:lineRule="exact"/>
    </w:pPr>
    <w:rPr>
      <w:szCs w:val="20"/>
    </w:rPr>
  </w:style>
  <w:style w:type="character" w:styleId="969">
    <w:name w:val="正文文本首行缩进 2 字符"/>
    <w:next w:val="969"/>
    <w:link w:val="968"/>
    <w:qFormat/>
    <w:rPr>
      <w:rFonts w:eastAsia="宋体"/>
      <w:sz w:val="24"/>
      <w:szCs w:val="24"/>
      <w:lang w:val="en-US" w:eastAsia="zh-CN" w:bidi="ar-SA"/>
    </w:rPr>
  </w:style>
  <w:style w:type="table" w:styleId="970">
    <w:name w:val="网格型"/>
    <w:basedOn w:val="910"/>
    <w:next w:val="970"/>
    <w:link w:val="899"/>
    <w:uiPriority w:val="39"/>
    <w:qFormat/>
    <w:tblPr/>
  </w:style>
  <w:style w:type="table" w:styleId="971">
    <w:name w:val="中等深浅网格 1 - 强调文字颜色 2"/>
    <w:basedOn w:val="910"/>
    <w:next w:val="971"/>
    <w:link w:val="899"/>
    <w:qFormat/>
    <w:rPr>
      <w:sz w:val="21"/>
      <w:szCs w:val="24"/>
    </w:rPr>
    <w:tblPr/>
  </w:style>
  <w:style w:type="character" w:styleId="972">
    <w:name w:val="要点"/>
    <w:next w:val="972"/>
    <w:link w:val="899"/>
    <w:qFormat/>
    <w:rPr>
      <w:b/>
      <w:bCs/>
    </w:rPr>
  </w:style>
  <w:style w:type="character" w:styleId="973">
    <w:name w:val="页码"/>
    <w:next w:val="973"/>
    <w:link w:val="899"/>
    <w:qFormat/>
  </w:style>
  <w:style w:type="character" w:styleId="974">
    <w:name w:val="已访问的超链接"/>
    <w:next w:val="974"/>
    <w:link w:val="899"/>
    <w:qFormat/>
    <w:rPr>
      <w:color w:val="800080"/>
      <w:u w:val="single"/>
    </w:rPr>
  </w:style>
  <w:style w:type="character" w:styleId="975">
    <w:name w:val="强调"/>
    <w:next w:val="975"/>
    <w:link w:val="899"/>
    <w:qFormat/>
    <w:rPr>
      <w:color w:val="cc0033"/>
    </w:rPr>
  </w:style>
  <w:style w:type="character" w:styleId="976">
    <w:name w:val="超链接"/>
    <w:next w:val="976"/>
    <w:link w:val="899"/>
    <w:uiPriority w:val="99"/>
    <w:qFormat/>
    <w:rPr>
      <w:color w:val="0000ff"/>
      <w:u w:val="single"/>
    </w:rPr>
  </w:style>
  <w:style w:type="character" w:styleId="977">
    <w:name w:val="批注引用"/>
    <w:next w:val="977"/>
    <w:link w:val="899"/>
    <w:uiPriority w:val="99"/>
    <w:qFormat/>
    <w:rPr>
      <w:sz w:val="21"/>
      <w:szCs w:val="21"/>
    </w:rPr>
  </w:style>
  <w:style w:type="character" w:styleId="978">
    <w:name w:val="HTML 引文"/>
    <w:next w:val="978"/>
    <w:link w:val="899"/>
    <w:qFormat/>
    <w:rPr>
      <w:i/>
      <w:iCs/>
    </w:rPr>
  </w:style>
  <w:style w:type="paragraph" w:styleId="979">
    <w:name w:val="xl53"/>
    <w:basedOn w:val="899"/>
    <w:next w:val="899"/>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980">
    <w:name w:val="NormalCharacter1"/>
    <w:next w:val="980"/>
    <w:link w:val="899"/>
    <w:qFormat/>
    <w:rPr>
      <w:sz w:val="21"/>
      <w:szCs w:val="24"/>
      <w:lang w:val="en-US" w:eastAsia="zh-CN" w:bidi="ar-SA"/>
    </w:rPr>
  </w:style>
  <w:style w:type="paragraph" w:styleId="981">
    <w:name w:val="正文首行缩进 21"/>
    <w:basedOn w:val="982"/>
    <w:next w:val="981"/>
    <w:link w:val="899"/>
    <w:qFormat/>
    <w:pPr>
      <w:ind w:left="420" w:firstLine="420"/>
      <w:spacing w:after="120" w:line="480" w:lineRule="exact"/>
    </w:pPr>
    <w:rPr>
      <w:szCs w:val="20"/>
    </w:rPr>
  </w:style>
  <w:style w:type="paragraph" w:styleId="982">
    <w:name w:val="正文文本缩进11"/>
    <w:basedOn w:val="899"/>
    <w:next w:val="899"/>
    <w:link w:val="899"/>
    <w:qFormat/>
    <w:pPr>
      <w:ind w:firstLine="570"/>
      <w:spacing w:line="360" w:lineRule="auto"/>
    </w:pPr>
    <w:rPr>
      <w:sz w:val="24"/>
    </w:rPr>
  </w:style>
  <w:style w:type="character" w:styleId="983">
    <w:name w:val="批注文字 字符"/>
    <w:next w:val="983"/>
    <w:link w:val="899"/>
    <w:uiPriority w:val="99"/>
    <w:qFormat/>
    <w:rPr>
      <w:rFonts w:ascii="Times New Roman" w:hAnsi="Times New Roman" w:eastAsia="宋体" w:cs="Times New Roman"/>
      <w:sz w:val="24"/>
      <w:lang w:val="en-US" w:eastAsia="zh-CN" w:bidi="ar-SA"/>
    </w:rPr>
  </w:style>
  <w:style w:type="character" w:styleId="984">
    <w:name w:val="c21"/>
    <w:next w:val="984"/>
    <w:link w:val="899"/>
    <w:qFormat/>
    <w:rPr>
      <w:rFonts w:ascii="ˎ̥" w:hAnsi="ˎ̥"/>
      <w:color w:val="000000"/>
      <w:sz w:val="20"/>
      <w:szCs w:val="20"/>
      <w:u w:val="none"/>
    </w:rPr>
  </w:style>
  <w:style w:type="character" w:styleId="985">
    <w:name w:val="title4"/>
    <w:next w:val="985"/>
    <w:link w:val="899"/>
    <w:qFormat/>
    <w:rPr>
      <w:b/>
      <w:bCs/>
      <w:color w:val="1d87b3"/>
      <w:sz w:val="15"/>
      <w:szCs w:val="15"/>
    </w:rPr>
  </w:style>
  <w:style w:type="character" w:styleId="986">
    <w:name w:val="标题 2 Char Char"/>
    <w:next w:val="986"/>
    <w:link w:val="899"/>
    <w:qFormat/>
    <w:rPr>
      <w:rFonts w:ascii="Arial" w:hAnsi="Arial" w:eastAsia="黑体"/>
      <w:b/>
      <w:bCs/>
      <w:sz w:val="32"/>
      <w:szCs w:val="32"/>
      <w:lang w:val="en-US" w:eastAsia="zh-CN" w:bidi="ar-SA"/>
    </w:rPr>
  </w:style>
  <w:style w:type="character" w:styleId="987">
    <w:name w:val="black1"/>
    <w:next w:val="987"/>
    <w:link w:val="899"/>
    <w:qFormat/>
    <w:rPr>
      <w:color w:val="000000"/>
    </w:rPr>
  </w:style>
  <w:style w:type="character" w:styleId="988">
    <w:name w:val="street-address"/>
    <w:next w:val="988"/>
    <w:link w:val="899"/>
    <w:qFormat/>
  </w:style>
  <w:style w:type="character" w:styleId="989">
    <w:name w:val="locality"/>
    <w:next w:val="989"/>
    <w:link w:val="899"/>
    <w:qFormat/>
  </w:style>
  <w:style w:type="character" w:styleId="990">
    <w:name w:val="正文文本缩进 Char1"/>
    <w:next w:val="990"/>
    <w:link w:val="991"/>
    <w:qFormat/>
    <w:rPr>
      <w:rFonts w:ascii="宋体" w:hAnsi="宋体" w:eastAsia="宋体"/>
      <w:sz w:val="24"/>
      <w:szCs w:val="24"/>
      <w:lang w:bidi="ar-SA"/>
    </w:rPr>
  </w:style>
  <w:style w:type="paragraph" w:styleId="991">
    <w:name w:val="正文文本缩进1"/>
    <w:basedOn w:val="899"/>
    <w:next w:val="991"/>
    <w:link w:val="990"/>
    <w:qFormat/>
    <w:pPr>
      <w:ind w:firstLine="480"/>
      <w:spacing w:line="480" w:lineRule="exact"/>
    </w:pPr>
    <w:rPr>
      <w:rFonts w:ascii="宋体" w:hAnsi="宋体"/>
      <w:sz w:val="24"/>
    </w:rPr>
  </w:style>
  <w:style w:type="character" w:styleId="992">
    <w:name w:val="Char Char11"/>
    <w:next w:val="992"/>
    <w:link w:val="899"/>
    <w:qFormat/>
    <w:rPr>
      <w:rFonts w:ascii="宋体" w:eastAsia="宋体"/>
      <w:b/>
      <w:sz w:val="24"/>
      <w:u w:val="single"/>
      <w:lang w:val="en-US" w:eastAsia="zh-CN" w:bidi="ar-SA"/>
    </w:rPr>
  </w:style>
  <w:style w:type="character" w:styleId="993">
    <w:name w:val="txt"/>
    <w:next w:val="993"/>
    <w:link w:val="899"/>
    <w:qFormat/>
  </w:style>
  <w:style w:type="character" w:styleId="994">
    <w:name w:val="正文缩进 Char Char"/>
    <w:next w:val="994"/>
    <w:link w:val="995"/>
    <w:qFormat/>
    <w:rPr>
      <w:rFonts w:ascii="宋体" w:eastAsia="宋体"/>
      <w:color w:val="000000"/>
      <w:sz w:val="28"/>
      <w:lang w:bidi="ar-SA"/>
    </w:rPr>
  </w:style>
  <w:style w:type="paragraph" w:styleId="995">
    <w:name w:val="正文缩进1"/>
    <w:basedOn w:val="899"/>
    <w:next w:val="995"/>
    <w:link w:val="994"/>
    <w:qFormat/>
    <w:pPr>
      <w:ind w:firstLine="567"/>
      <w:spacing w:line="480" w:lineRule="exact"/>
      <w:widowControl/>
    </w:pPr>
    <w:rPr>
      <w:rFonts w:ascii="宋体"/>
      <w:color w:val="000000"/>
      <w:sz w:val="28"/>
      <w:szCs w:val="20"/>
    </w:rPr>
  </w:style>
  <w:style w:type="character" w:styleId="996">
    <w:name w:val="普通文字1 Char1"/>
    <w:next w:val="996"/>
    <w:link w:val="899"/>
    <w:qFormat/>
    <w:rPr>
      <w:rFonts w:ascii="宋体" w:hAnsi="Courier New" w:eastAsia="宋体"/>
      <w:sz w:val="21"/>
      <w:lang w:val="en-US" w:eastAsia="zh-CN" w:bidi="ar-SA"/>
    </w:rPr>
  </w:style>
  <w:style w:type="character" w:styleId="997">
    <w:name w:val="chanpin1"/>
    <w:next w:val="997"/>
    <w:link w:val="899"/>
    <w:qFormat/>
    <w:rPr>
      <w:rFonts w:ascii="ˎ̥" w:hAnsi="ˎ̥"/>
      <w:color w:val="000000"/>
      <w:sz w:val="20"/>
      <w:szCs w:val="20"/>
      <w:u w:val="none"/>
    </w:rPr>
  </w:style>
  <w:style w:type="character" w:styleId="998">
    <w:name w:val="列表段落 字符"/>
    <w:next w:val="998"/>
    <w:link w:val="999"/>
    <w:uiPriority w:val="34"/>
    <w:qFormat/>
    <w:rPr>
      <w:rFonts w:ascii="Calibri" w:hAnsi="Calibri" w:eastAsia="宋体"/>
      <w:sz w:val="21"/>
      <w:szCs w:val="22"/>
      <w:lang w:val="en-US" w:eastAsia="zh-CN" w:bidi="ar-SA"/>
    </w:rPr>
  </w:style>
  <w:style w:type="paragraph" w:styleId="999">
    <w:name w:val="列表段落"/>
    <w:basedOn w:val="899"/>
    <w:next w:val="999"/>
    <w:link w:val="998"/>
    <w:uiPriority w:val="34"/>
    <w:qFormat/>
    <w:pPr>
      <w:ind w:firstLine="420"/>
    </w:pPr>
    <w:rPr>
      <w:rFonts w:ascii="Calibri" w:hAnsi="Calibri"/>
      <w:szCs w:val="22"/>
    </w:rPr>
  </w:style>
  <w:style w:type="character" w:styleId="1000">
    <w:name w:val="标题 3 Char Char"/>
    <w:next w:val="1000"/>
    <w:link w:val="899"/>
    <w:qFormat/>
    <w:rPr>
      <w:rFonts w:eastAsia="宋体"/>
      <w:b/>
      <w:bCs/>
      <w:sz w:val="32"/>
      <w:szCs w:val="32"/>
      <w:lang w:val="en-US" w:eastAsia="zh-CN" w:bidi="ar-SA"/>
    </w:rPr>
  </w:style>
  <w:style w:type="character" w:styleId="1001">
    <w:name w:val="段1 Char"/>
    <w:next w:val="1001"/>
    <w:link w:val="899"/>
    <w:qFormat/>
    <w:rPr>
      <w:rFonts w:ascii="宋体" w:eastAsia="宋体"/>
      <w:sz w:val="24"/>
      <w:lang w:val="en-US" w:eastAsia="zh-CN" w:bidi="ar-SA"/>
    </w:rPr>
  </w:style>
  <w:style w:type="character" w:styleId="1002">
    <w:name w:val="chanpin拷贝"/>
    <w:next w:val="1002"/>
    <w:link w:val="899"/>
    <w:qFormat/>
  </w:style>
  <w:style w:type="character" w:styleId="1003">
    <w:name w:val="纯文本 Char1"/>
    <w:next w:val="1003"/>
    <w:link w:val="899"/>
    <w:qFormat/>
    <w:rPr>
      <w:rFonts w:ascii="宋体" w:hAnsi="Courier New" w:eastAsia="宋体"/>
      <w:sz w:val="21"/>
      <w:lang w:val="en-US" w:eastAsia="zh-CN" w:bidi="ar-SA"/>
    </w:rPr>
  </w:style>
  <w:style w:type="character" w:styleId="1004">
    <w:name w:val="apple-style-span"/>
    <w:next w:val="1004"/>
    <w:link w:val="899"/>
    <w:qFormat/>
    <w:rPr>
      <w:rFonts w:cs="Times New Roman"/>
    </w:rPr>
  </w:style>
  <w:style w:type="paragraph" w:styleId="1005">
    <w:name w:val="二级条标题"/>
    <w:basedOn w:val="1006"/>
    <w:next w:val="899"/>
    <w:link w:val="899"/>
    <w:qFormat/>
    <w:pPr>
      <w:numPr>
        <w:ilvl w:val="0"/>
        <w:numId w:val="0"/>
      </w:numPr>
      <w:ind w:hanging="840"/>
      <w:tabs>
        <w:tab w:val="left" w:pos="360" w:leader="none"/>
        <w:tab w:val="left" w:pos="840" w:leader="none"/>
      </w:tabs>
      <w:outlineLvl w:val="2"/>
    </w:pPr>
    <w:rPr>
      <w:rFonts w:ascii="宋体" w:eastAsia="宋体"/>
      <w:b w:val="0"/>
    </w:rPr>
  </w:style>
  <w:style w:type="paragraph" w:styleId="1006">
    <w:name w:val="一级条标题"/>
    <w:basedOn w:val="1007"/>
    <w:next w:val="899"/>
    <w:link w:val="899"/>
    <w:qFormat/>
    <w:pPr>
      <w:numPr>
        <w:ilvl w:val="1"/>
      </w:numPr>
      <w:ind w:left="0" w:hanging="840"/>
      <w:tabs>
        <w:tab w:val="left" w:pos="360" w:leader="none"/>
        <w:tab w:val="left" w:pos="840" w:leader="none"/>
      </w:tabs>
      <w:outlineLvl w:val="1"/>
    </w:pPr>
  </w:style>
  <w:style w:type="paragraph" w:styleId="1007">
    <w:name w:val="章标题"/>
    <w:next w:val="899"/>
    <w:link w:val="899"/>
    <w:qFormat/>
    <w:pPr>
      <w:numPr>
        <w:ilvl w:val="0"/>
        <w:numId w:val="2"/>
      </w:numPr>
      <w:ind w:left="0"/>
      <w:jc w:val="both"/>
      <w:spacing w:before="156" w:after="156" w:line="460" w:lineRule="exact"/>
      <w:outlineLvl w:val="0"/>
    </w:pPr>
    <w:rPr>
      <w:rFonts w:ascii="黑体" w:eastAsia="黑体"/>
      <w:b/>
      <w:sz w:val="28"/>
      <w:lang w:val="en-US" w:eastAsia="zh-CN" w:bidi="ar-SA"/>
    </w:rPr>
  </w:style>
  <w:style w:type="paragraph" w:styleId="1008">
    <w:name w:val="font7"/>
    <w:basedOn w:val="899"/>
    <w:next w:val="1008"/>
    <w:link w:val="899"/>
    <w:qFormat/>
    <w:pPr>
      <w:jc w:val="left"/>
      <w:spacing w:before="100" w:beforeAutospacing="1" w:after="100" w:afterAutospacing="1"/>
      <w:widowControl/>
    </w:pPr>
    <w:rPr>
      <w:rFonts w:eastAsia="Arial Unicode MS"/>
      <w:b/>
      <w:bCs/>
      <w:color w:val="000000"/>
      <w:sz w:val="20"/>
      <w:szCs w:val="20"/>
    </w:rPr>
  </w:style>
  <w:style w:type="paragraph" w:styleId="1009">
    <w:name w:val="字元 字元"/>
    <w:basedOn w:val="899"/>
    <w:next w:val="1009"/>
    <w:link w:val="899"/>
    <w:qFormat/>
    <w:rPr>
      <w:rFonts w:ascii="Tahoma" w:hAnsi="Tahoma"/>
      <w:sz w:val="24"/>
      <w:szCs w:val="20"/>
    </w:rPr>
  </w:style>
  <w:style w:type="paragraph" w:styleId="1010">
    <w:name w:val="Char3 Char Char Char"/>
    <w:basedOn w:val="899"/>
    <w:next w:val="1010"/>
    <w:link w:val="899"/>
    <w:qFormat/>
    <w:rPr>
      <w:rFonts w:ascii="Tahoma" w:hAnsi="Tahoma"/>
      <w:sz w:val="24"/>
      <w:szCs w:val="20"/>
    </w:rPr>
  </w:style>
  <w:style w:type="paragraph" w:styleId="1011">
    <w:name w:val="font6"/>
    <w:basedOn w:val="899"/>
    <w:next w:val="1011"/>
    <w:link w:val="899"/>
    <w:qFormat/>
    <w:pPr>
      <w:jc w:val="left"/>
      <w:spacing w:before="100" w:beforeAutospacing="1" w:after="100" w:afterAutospacing="1"/>
      <w:widowControl/>
    </w:pPr>
    <w:rPr>
      <w:rFonts w:ascii="宋体" w:hAnsi="宋体" w:cs="宋体"/>
      <w:sz w:val="20"/>
      <w:szCs w:val="20"/>
    </w:rPr>
  </w:style>
  <w:style w:type="paragraph" w:styleId="1012">
    <w:name w:val="项目编号2"/>
    <w:basedOn w:val="1013"/>
    <w:next w:val="1012"/>
    <w:link w:val="899"/>
    <w:qFormat/>
    <w:pPr>
      <w:numPr>
        <w:numId w:val="4"/>
      </w:numPr>
    </w:pPr>
  </w:style>
  <w:style w:type="paragraph" w:styleId="1013">
    <w:name w:val="项目编号1"/>
    <w:basedOn w:val="899"/>
    <w:next w:val="1013"/>
    <w:link w:val="899"/>
    <w:qFormat/>
    <w:pPr>
      <w:numPr>
        <w:ilvl w:val="0"/>
        <w:numId w:val="3"/>
      </w:numPr>
      <w:spacing w:before="100" w:beforeAutospacing="1" w:after="100" w:afterAutospacing="1" w:line="360" w:lineRule="auto"/>
    </w:pPr>
    <w:rPr>
      <w:sz w:val="24"/>
    </w:rPr>
  </w:style>
  <w:style w:type="paragraph" w:styleId="1014">
    <w:name w:val="图中文字"/>
    <w:basedOn w:val="899"/>
    <w:next w:val="1014"/>
    <w:link w:val="899"/>
    <w:qFormat/>
    <w:pPr>
      <w:jc w:val="center"/>
      <w:spacing w:line="0" w:lineRule="atLeast"/>
    </w:pPr>
    <w:rPr>
      <w:sz w:val="24"/>
      <w:szCs w:val="20"/>
    </w:rPr>
  </w:style>
  <w:style w:type="paragraph" w:styleId="1015">
    <w:name w:val="xl46"/>
    <w:basedOn w:val="899"/>
    <w:next w:val="1015"/>
    <w:link w:val="89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6">
    <w:name w:val="xl25"/>
    <w:basedOn w:val="899"/>
    <w:next w:val="1016"/>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7">
    <w:name w:val="Char2"/>
    <w:basedOn w:val="899"/>
    <w:next w:val="1017"/>
    <w:link w:val="899"/>
    <w:qFormat/>
    <w:rPr>
      <w:rFonts w:ascii="Tahoma" w:hAnsi="Tahoma"/>
      <w:sz w:val="24"/>
      <w:szCs w:val="20"/>
    </w:rPr>
  </w:style>
  <w:style w:type="paragraph" w:styleId="1018">
    <w:name w:val="xl35"/>
    <w:basedOn w:val="899"/>
    <w:next w:val="1018"/>
    <w:link w:val="89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9">
    <w:name w:val="xl40"/>
    <w:basedOn w:val="899"/>
    <w:next w:val="1019"/>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0">
    <w:name w:val="xl52"/>
    <w:basedOn w:val="899"/>
    <w:next w:val="1020"/>
    <w:link w:val="8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1">
    <w:name w:val="xl43"/>
    <w:basedOn w:val="899"/>
    <w:next w:val="1021"/>
    <w:link w:val="89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2">
    <w:name w:val="background1"/>
    <w:basedOn w:val="899"/>
    <w:next w:val="1022"/>
    <w:link w:val="899"/>
    <w:qFormat/>
    <w:pPr>
      <w:jc w:val="left"/>
      <w:spacing w:before="100" w:beforeAutospacing="1" w:after="100" w:afterAutospacing="1"/>
      <w:widowControl/>
    </w:pPr>
    <w:rPr>
      <w:rFonts w:ascii="宋体" w:hAnsi="宋体" w:cs="宋体"/>
      <w:sz w:val="24"/>
    </w:rPr>
  </w:style>
  <w:style w:type="paragraph" w:styleId="1023">
    <w:name w:val="Char Char Char Char Char Char Char"/>
    <w:basedOn w:val="899"/>
    <w:next w:val="1023"/>
    <w:link w:val="899"/>
    <w:qFormat/>
    <w:pPr>
      <w:ind w:firstLine="200"/>
      <w:spacing w:line="360" w:lineRule="auto"/>
    </w:pPr>
    <w:rPr>
      <w:rFonts w:eastAsia="FangSong_GB2312"/>
      <w:sz w:val="24"/>
    </w:rPr>
  </w:style>
  <w:style w:type="paragraph" w:styleId="1024">
    <w:name w:val="xl38"/>
    <w:basedOn w:val="899"/>
    <w:next w:val="1024"/>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5">
    <w:name w:val="xl36"/>
    <w:basedOn w:val="899"/>
    <w:next w:val="1025"/>
    <w:link w:val="89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6">
    <w:name w:val="正文 + 宋体"/>
    <w:basedOn w:val="899"/>
    <w:next w:val="1026"/>
    <w:link w:val="899"/>
    <w:qFormat/>
    <w:pPr>
      <w:ind w:left="360" w:hanging="360"/>
      <w:jc w:val="left"/>
      <w:widowControl/>
    </w:pPr>
    <w:rPr>
      <w:rFonts w:ascii="宋体" w:hAnsi="宋体" w:cs="宋体"/>
      <w:b/>
      <w:bCs/>
      <w:color w:val="000000"/>
      <w:sz w:val="18"/>
      <w:szCs w:val="18"/>
    </w:rPr>
  </w:style>
  <w:style w:type="paragraph" w:styleId="1027">
    <w:name w:val="正文列项_数字"/>
    <w:basedOn w:val="899"/>
    <w:next w:val="1027"/>
    <w:link w:val="899"/>
    <w:qFormat/>
    <w:pPr>
      <w:numPr>
        <w:ilvl w:val="7"/>
        <w:numId w:val="2"/>
      </w:numPr>
      <w:ind w:left="680" w:hanging="150"/>
      <w:spacing w:line="460" w:lineRule="exact"/>
      <w:tabs>
        <w:tab w:val="clear" w:pos="860" w:leader="none"/>
      </w:tabs>
      <w:outlineLvl w:val="7"/>
    </w:pPr>
    <w:rPr>
      <w:rFonts w:ascii="宋体"/>
      <w:sz w:val="28"/>
      <w:szCs w:val="20"/>
    </w:rPr>
  </w:style>
  <w:style w:type="paragraph" w:styleId="1028">
    <w:name w:val="xl39"/>
    <w:basedOn w:val="899"/>
    <w:next w:val="1028"/>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9">
    <w:name w:val="xl37"/>
    <w:basedOn w:val="899"/>
    <w:next w:val="1029"/>
    <w:link w:val="89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0">
    <w:name w:val="xl32"/>
    <w:basedOn w:val="899"/>
    <w:next w:val="1030"/>
    <w:link w:val="8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1">
    <w:name w:val="font8"/>
    <w:basedOn w:val="899"/>
    <w:next w:val="1031"/>
    <w:link w:val="899"/>
    <w:qFormat/>
    <w:pPr>
      <w:jc w:val="left"/>
      <w:spacing w:before="100" w:beforeAutospacing="1" w:after="100" w:afterAutospacing="1"/>
      <w:widowControl/>
    </w:pPr>
    <w:rPr>
      <w:sz w:val="36"/>
      <w:szCs w:val="36"/>
    </w:rPr>
  </w:style>
  <w:style w:type="paragraph" w:styleId="1032">
    <w:name w:val="Char"/>
    <w:basedOn w:val="899"/>
    <w:next w:val="1032"/>
    <w:link w:val="899"/>
    <w:qFormat/>
    <w:pPr>
      <w:tabs>
        <w:tab w:val="left" w:pos="360" w:leader="none"/>
      </w:tabs>
    </w:pPr>
    <w:rPr>
      <w:sz w:val="24"/>
    </w:rPr>
  </w:style>
  <w:style w:type="paragraph" w:styleId="1033">
    <w:name w:val="Char Char Char Char Char Char Char Char Char Char Char Char Char Char Char Char"/>
    <w:basedOn w:val="899"/>
    <w:next w:val="1033"/>
    <w:link w:val="899"/>
    <w:qFormat/>
    <w:pPr>
      <w:jc w:val="center"/>
      <w:spacing w:after="160" w:line="240" w:lineRule="exact"/>
      <w:widowControl/>
    </w:pPr>
    <w:rPr>
      <w:rFonts w:ascii="宋体" w:hAnsi="宋体"/>
      <w:b/>
      <w:sz w:val="30"/>
      <w:szCs w:val="30"/>
      <w:lang w:eastAsia="en-US"/>
    </w:rPr>
  </w:style>
  <w:style w:type="paragraph" w:styleId="1034">
    <w:name w:val="xl45"/>
    <w:basedOn w:val="899"/>
    <w:next w:val="1034"/>
    <w:link w:val="89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5">
    <w:name w:val="Char Char1 Char Char Char Char Char Char"/>
    <w:basedOn w:val="899"/>
    <w:next w:val="1035"/>
    <w:link w:val="899"/>
    <w:qFormat/>
    <w:pPr>
      <w:jc w:val="left"/>
      <w:spacing w:after="160" w:line="240" w:lineRule="exact"/>
      <w:widowControl/>
    </w:pPr>
    <w:rPr>
      <w:rFonts w:ascii="Verdana" w:hAnsi="Verdana" w:eastAsia="FangSong_GB2312"/>
      <w:sz w:val="24"/>
      <w:szCs w:val="20"/>
      <w:lang w:eastAsia="en-US"/>
    </w:rPr>
  </w:style>
  <w:style w:type="paragraph" w:styleId="1036">
    <w:name w:val="Char Char1"/>
    <w:basedOn w:val="925"/>
    <w:next w:val="1036"/>
    <w:link w:val="899"/>
    <w:qFormat/>
    <w:rPr>
      <w:rFonts w:ascii="Tahoma" w:hAnsi="Tahoma"/>
      <w:sz w:val="24"/>
    </w:rPr>
  </w:style>
  <w:style w:type="paragraph" w:styleId="1037">
    <w:name w:val="xl26"/>
    <w:basedOn w:val="899"/>
    <w:next w:val="1037"/>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38">
    <w:name w:val="xl30"/>
    <w:basedOn w:val="899"/>
    <w:next w:val="1038"/>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9">
    <w:name w:val="xl41"/>
    <w:basedOn w:val="899"/>
    <w:next w:val="1039"/>
    <w:link w:val="8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0">
    <w:name w:val="样式 宋体 五号 行距: 单倍行距"/>
    <w:basedOn w:val="899"/>
    <w:next w:val="1040"/>
    <w:link w:val="899"/>
    <w:qFormat/>
    <w:pPr>
      <w:jc w:val="left"/>
    </w:pPr>
    <w:rPr>
      <w:rFonts w:ascii="宋体" w:hAnsi="宋体"/>
      <w:szCs w:val="20"/>
    </w:rPr>
  </w:style>
  <w:style w:type="paragraph" w:styleId="1041">
    <w:name w:val="Char1 Char Char Char1"/>
    <w:basedOn w:val="899"/>
    <w:next w:val="1041"/>
    <w:link w:val="899"/>
    <w:qFormat/>
    <w:rPr>
      <w:rFonts w:ascii="Tahoma" w:hAnsi="Tahoma" w:cs="FangSong_GB2312"/>
      <w:sz w:val="24"/>
      <w:szCs w:val="28"/>
    </w:rPr>
  </w:style>
  <w:style w:type="paragraph" w:styleId="1042">
    <w:name w:val="四级条标题"/>
    <w:basedOn w:val="1043"/>
    <w:next w:val="899"/>
    <w:link w:val="899"/>
    <w:qFormat/>
    <w:pPr>
      <w:numPr>
        <w:ilvl w:val="4"/>
      </w:numPr>
      <w:ind w:left="0" w:hanging="840"/>
      <w:tabs>
        <w:tab w:val="left" w:pos="360" w:leader="none"/>
        <w:tab w:val="left" w:pos="840" w:leader="none"/>
      </w:tabs>
      <w:outlineLvl w:val="4"/>
    </w:pPr>
  </w:style>
  <w:style w:type="paragraph" w:styleId="1043">
    <w:name w:val="三级条标题"/>
    <w:basedOn w:val="1005"/>
    <w:next w:val="899"/>
    <w:link w:val="899"/>
    <w:qFormat/>
    <w:pPr>
      <w:numPr>
        <w:ilvl w:val="3"/>
        <w:numId w:val="2"/>
      </w:numPr>
      <w:ind w:left="0" w:hanging="840"/>
      <w:tabs>
        <w:tab w:val="left" w:pos="360" w:leader="none"/>
        <w:tab w:val="left" w:pos="840" w:leader="none"/>
      </w:tabs>
      <w:outlineLvl w:val="3"/>
    </w:pPr>
  </w:style>
  <w:style w:type="paragraph" w:styleId="1044">
    <w:name w:val="??"/>
    <w:next w:val="1044"/>
    <w:link w:val="899"/>
    <w:qFormat/>
    <w:pPr>
      <w:jc w:val="both"/>
      <w:widowControl w:val="off"/>
    </w:pPr>
    <w:rPr>
      <w:sz w:val="21"/>
      <w:lang w:val="en-US" w:eastAsia="en-US" w:bidi="ar-SA"/>
    </w:rPr>
  </w:style>
  <w:style w:type="paragraph" w:styleId="1045">
    <w:name w:val="样式 标题 2 + 宋体 五号 行距: 单倍行距"/>
    <w:basedOn w:val="901"/>
    <w:next w:val="1045"/>
    <w:link w:val="899"/>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1046">
    <w:name w:val="List Paragraph1"/>
    <w:basedOn w:val="899"/>
    <w:next w:val="1046"/>
    <w:link w:val="899"/>
    <w:qFormat/>
    <w:pPr>
      <w:ind w:firstLine="420"/>
    </w:pPr>
    <w:rPr>
      <w:rFonts w:ascii="Calibri" w:hAnsi="Calibri"/>
      <w:szCs w:val="22"/>
    </w:rPr>
  </w:style>
  <w:style w:type="paragraph" w:styleId="1047">
    <w:name w:val="项目符号1"/>
    <w:basedOn w:val="1048"/>
    <w:next w:val="1047"/>
    <w:link w:val="899"/>
    <w:qFormat/>
    <w:pPr>
      <w:ind w:left="-25" w:firstLine="0"/>
    </w:pPr>
  </w:style>
  <w:style w:type="paragraph" w:styleId="1048">
    <w:name w:val="正文文本样式"/>
    <w:basedOn w:val="899"/>
    <w:next w:val="1048"/>
    <w:link w:val="899"/>
    <w:qFormat/>
    <w:pPr>
      <w:ind w:firstLine="482"/>
      <w:spacing w:line="360" w:lineRule="auto"/>
    </w:pPr>
    <w:rPr>
      <w:rFonts w:cs="宋体"/>
      <w:sz w:val="24"/>
      <w:szCs w:val="20"/>
    </w:rPr>
  </w:style>
  <w:style w:type="paragraph" w:styleId="1049">
    <w:name w:val="xl27"/>
    <w:basedOn w:val="899"/>
    <w:next w:val="1049"/>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0">
    <w:name w:val="font5"/>
    <w:basedOn w:val="899"/>
    <w:next w:val="1050"/>
    <w:link w:val="899"/>
    <w:qFormat/>
    <w:pPr>
      <w:jc w:val="left"/>
      <w:spacing w:before="100" w:beforeAutospacing="1" w:after="100" w:afterAutospacing="1"/>
      <w:widowControl/>
    </w:pPr>
    <w:rPr>
      <w:rFonts w:ascii="宋体" w:hAnsi="宋体" w:cs="宋体"/>
      <w:sz w:val="18"/>
      <w:szCs w:val="18"/>
    </w:rPr>
  </w:style>
  <w:style w:type="paragraph" w:styleId="1051">
    <w:name w:val="五级条标题"/>
    <w:basedOn w:val="1042"/>
    <w:next w:val="899"/>
    <w:link w:val="899"/>
    <w:qFormat/>
    <w:pPr>
      <w:numPr>
        <w:ilvl w:val="5"/>
      </w:numPr>
      <w:ind w:left="0" w:hanging="840"/>
      <w:tabs>
        <w:tab w:val="left" w:pos="360" w:leader="none"/>
        <w:tab w:val="left" w:pos="840" w:leader="none"/>
      </w:tabs>
      <w:outlineLvl w:val="5"/>
    </w:pPr>
  </w:style>
  <w:style w:type="paragraph" w:styleId="1052">
    <w:name w:val="xl49"/>
    <w:basedOn w:val="899"/>
    <w:next w:val="1052"/>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3">
    <w:name w:val="文档正文"/>
    <w:basedOn w:val="899"/>
    <w:next w:val="1053"/>
    <w:link w:val="899"/>
    <w:qFormat/>
    <w:pPr>
      <w:spacing w:before="120" w:after="120" w:line="180" w:lineRule="auto"/>
    </w:pPr>
    <w:rPr>
      <w:rFonts w:ascii="Arial" w:hAnsi="Arial"/>
      <w:szCs w:val="20"/>
    </w:rPr>
  </w:style>
  <w:style w:type="paragraph" w:styleId="1054">
    <w:name w:val="xl33"/>
    <w:basedOn w:val="899"/>
    <w:next w:val="1054"/>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5">
    <w:name w:val="xl42"/>
    <w:basedOn w:val="899"/>
    <w:next w:val="1055"/>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56">
    <w:name w:val="Char Char Char1 Char"/>
    <w:basedOn w:val="899"/>
    <w:next w:val="1056"/>
    <w:link w:val="899"/>
    <w:qFormat/>
    <w:rPr>
      <w:rFonts w:ascii="Tahoma" w:hAnsi="Tahoma"/>
      <w:sz w:val="24"/>
      <w:szCs w:val="20"/>
    </w:rPr>
  </w:style>
  <w:style w:type="paragraph" w:styleId="1057">
    <w:name w:val="xl44"/>
    <w:basedOn w:val="899"/>
    <w:next w:val="1057"/>
    <w:link w:val="8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58">
    <w:name w:val="1名"/>
    <w:basedOn w:val="899"/>
    <w:next w:val="1058"/>
    <w:link w:val="899"/>
    <w:qFormat/>
    <w:pPr>
      <w:numPr>
        <w:ilvl w:val="0"/>
        <w:numId w:val="6"/>
      </w:numPr>
      <w:spacing w:before="120"/>
      <w:tabs>
        <w:tab w:val="left" w:pos="360" w:leader="none"/>
      </w:tabs>
    </w:pPr>
    <w:rPr>
      <w:rFonts w:ascii="宋体"/>
      <w:sz w:val="28"/>
      <w:szCs w:val="20"/>
    </w:rPr>
  </w:style>
  <w:style w:type="paragraph" w:styleId="1059">
    <w:name w:val="font9"/>
    <w:basedOn w:val="899"/>
    <w:next w:val="1059"/>
    <w:link w:val="899"/>
    <w:qFormat/>
    <w:pPr>
      <w:jc w:val="left"/>
      <w:spacing w:before="100" w:beforeAutospacing="1" w:after="100" w:afterAutospacing="1"/>
      <w:widowControl/>
    </w:pPr>
    <w:rPr>
      <w:rFonts w:hint="eastAsia" w:ascii="宋体" w:hAnsi="宋体" w:cs="Arial Unicode MS"/>
      <w:color w:val="000000"/>
      <w:sz w:val="20"/>
      <w:szCs w:val="20"/>
    </w:rPr>
  </w:style>
  <w:style w:type="paragraph" w:styleId="1060">
    <w:name w:val="Char Char Char1 Char1"/>
    <w:basedOn w:val="899"/>
    <w:next w:val="1060"/>
    <w:link w:val="899"/>
    <w:qFormat/>
    <w:rPr>
      <w:rFonts w:ascii="Tahoma" w:hAnsi="Tahoma"/>
      <w:sz w:val="24"/>
      <w:szCs w:val="20"/>
    </w:rPr>
  </w:style>
  <w:style w:type="paragraph" w:styleId="1061">
    <w:name w:val="Char Char Char Char Char Char Char Char Char Char"/>
    <w:basedOn w:val="899"/>
    <w:next w:val="1061"/>
    <w:link w:val="899"/>
    <w:qFormat/>
  </w:style>
  <w:style w:type="paragraph" w:styleId="1062">
    <w:name w:val="Char Char1 Char Char Char Char Char Char Char Char"/>
    <w:basedOn w:val="899"/>
    <w:next w:val="1062"/>
    <w:link w:val="899"/>
    <w:qFormat/>
    <w:pPr>
      <w:jc w:val="left"/>
      <w:spacing w:after="160" w:line="240" w:lineRule="exact"/>
      <w:widowControl/>
    </w:pPr>
    <w:rPr>
      <w:rFonts w:ascii="Verdana" w:hAnsi="Verdana"/>
      <w:sz w:val="20"/>
      <w:szCs w:val="20"/>
      <w:lang w:eastAsia="en-US"/>
    </w:rPr>
  </w:style>
  <w:style w:type="paragraph" w:styleId="1063">
    <w:name w:val="Char1"/>
    <w:basedOn w:val="899"/>
    <w:next w:val="1063"/>
    <w:link w:val="899"/>
    <w:qFormat/>
    <w:pPr>
      <w:tabs>
        <w:tab w:val="left" w:pos="360" w:leader="none"/>
      </w:tabs>
    </w:pPr>
    <w:rPr>
      <w:sz w:val="24"/>
    </w:rPr>
  </w:style>
  <w:style w:type="paragraph" w:styleId="1064">
    <w:name w:val="正文列项_字母"/>
    <w:basedOn w:val="899"/>
    <w:next w:val="1064"/>
    <w:link w:val="899"/>
    <w:qFormat/>
    <w:pPr>
      <w:numPr>
        <w:ilvl w:val="6"/>
        <w:numId w:val="2"/>
      </w:numPr>
      <w:ind w:left="480" w:hanging="180"/>
      <w:spacing w:line="460" w:lineRule="exact"/>
      <w:tabs>
        <w:tab w:val="clear" w:pos="635" w:leader="none"/>
      </w:tabs>
      <w:outlineLvl w:val="6"/>
    </w:pPr>
    <w:rPr>
      <w:rFonts w:ascii="宋体"/>
      <w:sz w:val="28"/>
      <w:szCs w:val="20"/>
    </w:rPr>
  </w:style>
  <w:style w:type="paragraph" w:styleId="1065">
    <w:name w:val="xl28"/>
    <w:basedOn w:val="899"/>
    <w:next w:val="1065"/>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6">
    <w:name w:val="xl47"/>
    <w:basedOn w:val="899"/>
    <w:next w:val="1066"/>
    <w:link w:val="8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7">
    <w:name w:val="默认段落字体 Para Char Char Char Char"/>
    <w:basedOn w:val="899"/>
    <w:next w:val="1067"/>
    <w:link w:val="899"/>
    <w:qFormat/>
    <w:rPr>
      <w:rFonts w:ascii="Arial" w:hAnsi="Arial" w:cs="Arial"/>
      <w:szCs w:val="21"/>
    </w:rPr>
  </w:style>
  <w:style w:type="paragraph" w:styleId="1068">
    <w:name w:val="xl48"/>
    <w:basedOn w:val="899"/>
    <w:next w:val="1068"/>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69">
    <w:name w:val="xl31"/>
    <w:basedOn w:val="899"/>
    <w:next w:val="1069"/>
    <w:link w:val="8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0">
    <w:name w:val="Char Char Char"/>
    <w:basedOn w:val="899"/>
    <w:next w:val="1070"/>
    <w:link w:val="899"/>
    <w:qFormat/>
    <w:rPr>
      <w:rFonts w:ascii="Tahoma" w:hAnsi="Tahoma"/>
      <w:sz w:val="24"/>
      <w:szCs w:val="20"/>
    </w:rPr>
  </w:style>
  <w:style w:type="paragraph" w:styleId="1071">
    <w:name w:val="xl50"/>
    <w:basedOn w:val="899"/>
    <w:next w:val="1071"/>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2">
    <w:name w:val="缺省文本"/>
    <w:basedOn w:val="899"/>
    <w:next w:val="1072"/>
    <w:link w:val="899"/>
    <w:qFormat/>
    <w:pPr>
      <w:jc w:val="left"/>
    </w:pPr>
    <w:rPr>
      <w:sz w:val="24"/>
    </w:rPr>
  </w:style>
  <w:style w:type="paragraph" w:styleId="1073">
    <w:name w:val="Char Char Char1"/>
    <w:basedOn w:val="899"/>
    <w:next w:val="1073"/>
    <w:link w:val="899"/>
    <w:qFormat/>
    <w:rPr>
      <w:rFonts w:ascii="Tahoma" w:hAnsi="Tahoma"/>
      <w:sz w:val="24"/>
      <w:szCs w:val="20"/>
    </w:rPr>
  </w:style>
  <w:style w:type="paragraph" w:styleId="1074">
    <w:name w:val="Char Char Char Char Char Char Char1"/>
    <w:basedOn w:val="899"/>
    <w:next w:val="1074"/>
    <w:link w:val="899"/>
    <w:qFormat/>
    <w:pPr>
      <w:ind w:firstLine="200"/>
      <w:spacing w:line="360" w:lineRule="auto"/>
    </w:pPr>
    <w:rPr>
      <w:rFonts w:eastAsia="FangSong_GB2312"/>
      <w:sz w:val="24"/>
    </w:rPr>
  </w:style>
  <w:style w:type="paragraph" w:styleId="1075">
    <w:name w:val="xl51"/>
    <w:basedOn w:val="899"/>
    <w:next w:val="1075"/>
    <w:link w:val="89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6">
    <w:name w:val="样式2"/>
    <w:basedOn w:val="963"/>
    <w:next w:val="1076"/>
    <w:link w:val="899"/>
    <w:qFormat/>
    <w:pPr>
      <w:jc w:val="center"/>
      <w:spacing w:line="360" w:lineRule="auto"/>
    </w:pPr>
    <w:rPr>
      <w:sz w:val="24"/>
    </w:rPr>
  </w:style>
  <w:style w:type="paragraph" w:styleId="1077">
    <w:name w:val="xl24"/>
    <w:basedOn w:val="899"/>
    <w:next w:val="1077"/>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8">
    <w:name w:val="xl29"/>
    <w:basedOn w:val="899"/>
    <w:next w:val="1078"/>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9">
    <w:name w:val="正文 + 楷体_GB2312"/>
    <w:basedOn w:val="899"/>
    <w:next w:val="1079"/>
    <w:link w:val="899"/>
    <w:qFormat/>
    <w:pPr>
      <w:jc w:val="left"/>
      <w:widowControl/>
    </w:pPr>
    <w:rPr>
      <w:rFonts w:ascii="KaiTi_GB2312" w:eastAsia="KaiTi_GB2312" w:cs="Arial"/>
      <w:sz w:val="24"/>
    </w:rPr>
  </w:style>
  <w:style w:type="paragraph" w:styleId="1080">
    <w:name w:val="xl34"/>
    <w:basedOn w:val="899"/>
    <w:next w:val="1080"/>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1">
    <w:name w:val="1 Char Char Char Char"/>
    <w:basedOn w:val="899"/>
    <w:next w:val="1081"/>
    <w:link w:val="899"/>
    <w:qFormat/>
    <w:rPr>
      <w:rFonts w:ascii="Tahoma" w:hAnsi="Tahoma"/>
      <w:sz w:val="24"/>
      <w:szCs w:val="20"/>
    </w:rPr>
  </w:style>
  <w:style w:type="paragraph" w:styleId="1082">
    <w:name w:val="Default"/>
    <w:next w:val="1082"/>
    <w:link w:val="899"/>
    <w:qFormat/>
    <w:pPr>
      <w:widowControl w:val="off"/>
    </w:pPr>
    <w:rPr>
      <w:rFonts w:ascii="Symbol" w:hAnsi="Symbol" w:cs="Symbol"/>
      <w:color w:val="000000"/>
      <w:sz w:val="24"/>
      <w:szCs w:val="24"/>
      <w:lang w:val="en-US" w:eastAsia="zh-CN" w:bidi="ar-SA"/>
    </w:rPr>
  </w:style>
  <w:style w:type="paragraph" w:styleId="1083">
    <w:name w:val="列出段落1"/>
    <w:basedOn w:val="899"/>
    <w:next w:val="1083"/>
    <w:link w:val="899"/>
    <w:qFormat/>
    <w:pPr>
      <w:ind w:firstLine="420"/>
    </w:pPr>
    <w:rPr>
      <w:rFonts w:ascii="Calibri" w:hAnsi="Calibri"/>
      <w:szCs w:val="22"/>
    </w:rPr>
  </w:style>
  <w:style w:type="paragraph" w:styleId="1084">
    <w:name w:val="default"/>
    <w:basedOn w:val="899"/>
    <w:next w:val="1084"/>
    <w:link w:val="899"/>
    <w:qFormat/>
    <w:pPr>
      <w:jc w:val="left"/>
      <w:spacing w:before="100" w:beforeAutospacing="1" w:after="100" w:afterAutospacing="1"/>
      <w:widowControl/>
    </w:pPr>
    <w:rPr>
      <w:rFonts w:ascii="宋体" w:hAnsi="宋体" w:cs="宋体"/>
      <w:sz w:val="24"/>
    </w:rPr>
  </w:style>
  <w:style w:type="paragraph" w:styleId="1085">
    <w:name w:val="字元 字元1"/>
    <w:basedOn w:val="899"/>
    <w:next w:val="1085"/>
    <w:link w:val="899"/>
    <w:qFormat/>
    <w:rPr>
      <w:rFonts w:ascii="Tahoma" w:hAnsi="Tahoma"/>
      <w:sz w:val="24"/>
      <w:szCs w:val="20"/>
    </w:rPr>
  </w:style>
  <w:style w:type="paragraph" w:styleId="1086">
    <w:name w:val="_Style 160"/>
    <w:next w:val="1086"/>
    <w:link w:val="899"/>
    <w:qFormat/>
    <w:rPr>
      <w:sz w:val="21"/>
      <w:szCs w:val="24"/>
      <w:lang w:val="en-US" w:eastAsia="zh-CN" w:bidi="ar-SA"/>
    </w:rPr>
  </w:style>
  <w:style w:type="paragraph" w:styleId="1087">
    <w:name w:val="项目编号3"/>
    <w:basedOn w:val="1048"/>
    <w:next w:val="1087"/>
    <w:link w:val="899"/>
    <w:qFormat/>
    <w:pPr>
      <w:numPr>
        <w:ilvl w:val="0"/>
        <w:numId w:val="7"/>
      </w:numPr>
    </w:pPr>
  </w:style>
  <w:style w:type="paragraph" w:styleId="1088">
    <w:name w:val="Char21"/>
    <w:basedOn w:val="899"/>
    <w:next w:val="1088"/>
    <w:link w:val="899"/>
    <w:qFormat/>
    <w:rPr>
      <w:rFonts w:ascii="Tahoma" w:hAnsi="Tahoma"/>
      <w:sz w:val="24"/>
      <w:szCs w:val="20"/>
    </w:rPr>
  </w:style>
  <w:style w:type="paragraph" w:styleId="1089">
    <w:name w:val="表格文字"/>
    <w:basedOn w:val="933"/>
    <w:next w:val="1089"/>
    <w:link w:val="899"/>
    <w:qFormat/>
    <w:pPr>
      <w:ind w:firstLine="0"/>
      <w:spacing w:before="20" w:after="20" w:line="240" w:lineRule="auto"/>
    </w:pPr>
    <w:rPr>
      <w:rFonts w:ascii="Century Gothic" w:hAnsi="Century Gothic"/>
      <w:sz w:val="20"/>
      <w:szCs w:val="20"/>
    </w:rPr>
  </w:style>
  <w:style w:type="paragraph" w:styleId="1090">
    <w:name w:val="Char Char Char Char Char Char Char Char Char Char1"/>
    <w:basedOn w:val="899"/>
    <w:next w:val="1090"/>
    <w:link w:val="899"/>
    <w:qFormat/>
    <w:rPr>
      <w:rFonts w:ascii="宋体" w:hAnsi="宋体" w:cs="Courier New"/>
      <w:sz w:val="32"/>
      <w:szCs w:val="32"/>
    </w:rPr>
  </w:style>
  <w:style w:type="paragraph" w:styleId="1091">
    <w:name w:val="正文文本样式 加粗"/>
    <w:basedOn w:val="1048"/>
    <w:next w:val="1091"/>
    <w:link w:val="899"/>
    <w:qFormat/>
    <w:rPr>
      <w:b/>
    </w:rPr>
  </w:style>
  <w:style w:type="paragraph" w:styleId="1092">
    <w:name w:val="Char2 Char Char Char Char Char Char"/>
    <w:basedOn w:val="899"/>
    <w:next w:val="1092"/>
    <w:link w:val="899"/>
    <w:qFormat/>
    <w:pPr>
      <w:jc w:val="center"/>
      <w:spacing w:line="400" w:lineRule="exact"/>
      <w:widowControl/>
    </w:pPr>
  </w:style>
  <w:style w:type="paragraph" w:styleId="1093">
    <w:name w:val="Char Char4"/>
    <w:basedOn w:val="899"/>
    <w:next w:val="1093"/>
    <w:link w:val="899"/>
    <w:qFormat/>
    <w:pPr>
      <w:jc w:val="center"/>
      <w:spacing w:line="400" w:lineRule="exact"/>
      <w:widowControl/>
    </w:pPr>
  </w:style>
  <w:style w:type="paragraph" w:styleId="1094">
    <w:name w:val="Char3 Char Char Char1"/>
    <w:basedOn w:val="899"/>
    <w:next w:val="1094"/>
    <w:link w:val="899"/>
    <w:qFormat/>
    <w:rPr>
      <w:rFonts w:ascii="Tahoma" w:hAnsi="Tahoma"/>
      <w:sz w:val="24"/>
      <w:szCs w:val="20"/>
    </w:rPr>
  </w:style>
  <w:style w:type="paragraph" w:styleId="1095">
    <w:name w:val="无间隔"/>
    <w:next w:val="1095"/>
    <w:link w:val="899"/>
    <w:qFormat/>
    <w:pPr>
      <w:jc w:val="both"/>
      <w:widowControl w:val="off"/>
    </w:pPr>
    <w:rPr>
      <w:sz w:val="21"/>
      <w:szCs w:val="24"/>
      <w:lang w:val="en-US" w:eastAsia="zh-CN" w:bidi="ar-SA"/>
    </w:rPr>
  </w:style>
  <w:style w:type="paragraph" w:styleId="1096">
    <w:name w:val="22222222222222"/>
    <w:basedOn w:val="899"/>
    <w:next w:val="1096"/>
    <w:link w:val="899"/>
    <w:qFormat/>
    <w:pPr>
      <w:ind w:firstLine="480"/>
      <w:jc w:val="left"/>
      <w:spacing w:line="360" w:lineRule="auto"/>
      <w:widowControl/>
    </w:pPr>
    <w:rPr>
      <w:color w:val="ff0000"/>
      <w:sz w:val="24"/>
      <w:szCs w:val="20"/>
    </w:rPr>
  </w:style>
  <w:style w:type="character" w:styleId="1097">
    <w:name w:val="中等深浅网格 1 - 强调文字颜色 2 Char"/>
    <w:next w:val="1097"/>
    <w:link w:val="1098"/>
    <w:qFormat/>
    <w:rPr>
      <w:sz w:val="21"/>
      <w:szCs w:val="24"/>
      <w:lang w:val="zh-CN" w:eastAsia="zh-CN" w:bidi="ar-SA"/>
    </w:rPr>
  </w:style>
  <w:style w:type="paragraph" w:styleId="1098">
    <w:name w:val="1"/>
    <w:next w:val="1098"/>
    <w:link w:val="1097"/>
    <w:qFormat/>
    <w:rPr>
      <w:sz w:val="21"/>
      <w:szCs w:val="24"/>
      <w:lang w:val="zh-CN" w:eastAsia="zh-CN" w:bidi="ar-SA"/>
    </w:rPr>
  </w:style>
  <w:style w:type="paragraph" w:styleId="1099">
    <w:name w:val="图文"/>
    <w:basedOn w:val="899"/>
    <w:next w:val="1099"/>
    <w:link w:val="899"/>
    <w:qFormat/>
    <w:pPr>
      <w:spacing w:after="50" w:line="360" w:lineRule="auto"/>
    </w:pPr>
    <w:rPr>
      <w:sz w:val="24"/>
    </w:rPr>
  </w:style>
  <w:style w:type="paragraph" w:styleId="1100">
    <w:name w:val="xl23"/>
    <w:basedOn w:val="899"/>
    <w:next w:val="1100"/>
    <w:link w:val="899"/>
    <w:qFormat/>
    <w:pPr>
      <w:spacing w:before="100" w:beforeAutospacing="1" w:after="100" w:afterAutospacing="1" w:line="360" w:lineRule="auto"/>
      <w:widowControl/>
    </w:pPr>
    <w:rPr>
      <w:sz w:val="24"/>
      <w:szCs w:val="20"/>
    </w:rPr>
  </w:style>
  <w:style w:type="paragraph" w:styleId="1101">
    <w:name w:val="正文表格"/>
    <w:basedOn w:val="899"/>
    <w:next w:val="1101"/>
    <w:link w:val="1102"/>
    <w:qFormat/>
    <w:pPr>
      <w:jc w:val="left"/>
    </w:pPr>
    <w:rPr>
      <w:rFonts w:ascii="宋体" w:hAnsi="宋体"/>
      <w:color w:val="000000"/>
      <w:szCs w:val="21"/>
    </w:rPr>
  </w:style>
  <w:style w:type="character" w:styleId="1102">
    <w:name w:val="正文表格 Char"/>
    <w:next w:val="1102"/>
    <w:link w:val="1101"/>
    <w:qFormat/>
    <w:rPr>
      <w:rFonts w:ascii="宋体" w:hAnsi="宋体"/>
      <w:color w:val="000000"/>
      <w:sz w:val="21"/>
      <w:szCs w:val="21"/>
    </w:rPr>
  </w:style>
  <w:style w:type="paragraph" w:styleId="1103">
    <w:name w:val="正文重点"/>
    <w:basedOn w:val="899"/>
    <w:next w:val="1103"/>
    <w:link w:val="1104"/>
    <w:qFormat/>
    <w:pPr>
      <w:ind w:firstLine="482"/>
      <w:jc w:val="left"/>
      <w:spacing w:line="360" w:lineRule="auto"/>
    </w:pPr>
    <w:rPr>
      <w:b/>
      <w:sz w:val="24"/>
      <w:szCs w:val="20"/>
    </w:rPr>
  </w:style>
  <w:style w:type="character" w:styleId="1104">
    <w:name w:val="正文重点 Char"/>
    <w:next w:val="1104"/>
    <w:link w:val="1103"/>
    <w:qFormat/>
    <w:rPr>
      <w:b/>
      <w:sz w:val="24"/>
    </w:rPr>
  </w:style>
  <w:style w:type="paragraph" w:styleId="1105">
    <w:name w:val="标题1-附件"/>
    <w:basedOn w:val="900"/>
    <w:next w:val="1105"/>
    <w:link w:val="899"/>
    <w:qFormat/>
    <w:pPr>
      <w:jc w:val="left"/>
    </w:pPr>
    <w:rPr>
      <w:sz w:val="24"/>
      <w:szCs w:val="24"/>
    </w:rPr>
  </w:style>
  <w:style w:type="paragraph" w:styleId="1106">
    <w:name w:val="正文小标题"/>
    <w:basedOn w:val="899"/>
    <w:next w:val="913"/>
    <w:link w:val="1107"/>
    <w:qFormat/>
    <w:pPr>
      <w:ind w:firstLine="482"/>
      <w:jc w:val="left"/>
      <w:spacing w:before="312" w:after="312"/>
    </w:pPr>
    <w:rPr>
      <w:rFonts w:ascii="宋体" w:hAnsi="宋体"/>
      <w:b/>
      <w:i/>
      <w:color w:val="ff0000"/>
      <w:sz w:val="24"/>
      <w:szCs w:val="20"/>
    </w:rPr>
  </w:style>
  <w:style w:type="character" w:styleId="1107">
    <w:name w:val="正文小标题 Char"/>
    <w:next w:val="1107"/>
    <w:link w:val="1106"/>
    <w:qFormat/>
    <w:rPr>
      <w:rFonts w:ascii="宋体" w:hAnsi="宋体"/>
      <w:b/>
      <w:i/>
      <w:color w:val="ff0000"/>
      <w:sz w:val="24"/>
    </w:rPr>
  </w:style>
  <w:style w:type="paragraph" w:styleId="1108">
    <w:name w:val="正文大标题"/>
    <w:basedOn w:val="1106"/>
    <w:next w:val="913"/>
    <w:link w:val="1109"/>
    <w:qFormat/>
    <w:pPr>
      <w:jc w:val="center"/>
    </w:pPr>
    <w:rPr>
      <w:i w:val="0"/>
      <w:color w:val="000000"/>
      <w:sz w:val="28"/>
      <w:szCs w:val="21"/>
    </w:rPr>
  </w:style>
  <w:style w:type="character" w:styleId="1109">
    <w:name w:val="正文大标题 Char"/>
    <w:next w:val="1109"/>
    <w:link w:val="1108"/>
    <w:qFormat/>
    <w:rPr>
      <w:rFonts w:ascii="宋体" w:hAnsi="宋体"/>
      <w:b/>
      <w:color w:val="000000"/>
      <w:sz w:val="28"/>
      <w:szCs w:val="21"/>
    </w:rPr>
  </w:style>
  <w:style w:type="paragraph" w:styleId="1110">
    <w:name w:val="注释"/>
    <w:basedOn w:val="899"/>
    <w:next w:val="1110"/>
    <w:link w:val="1111"/>
    <w:qFormat/>
    <w:pPr>
      <w:ind w:left="420" w:hanging="420"/>
      <w:jc w:val="left"/>
    </w:pPr>
    <w:rPr>
      <w:rFonts w:ascii="宋体" w:hAnsi="宋体"/>
      <w:szCs w:val="21"/>
    </w:rPr>
  </w:style>
  <w:style w:type="character" w:styleId="1111">
    <w:name w:val="注释 Char"/>
    <w:next w:val="1111"/>
    <w:link w:val="1110"/>
    <w:qFormat/>
    <w:rPr>
      <w:rFonts w:ascii="宋体" w:hAnsi="宋体"/>
      <w:sz w:val="21"/>
      <w:szCs w:val="21"/>
    </w:rPr>
  </w:style>
  <w:style w:type="paragraph" w:styleId="1112">
    <w:name w:val="正文须知-1级"/>
    <w:basedOn w:val="899"/>
    <w:next w:val="899"/>
    <w:link w:val="899"/>
    <w:qFormat/>
    <w:pPr>
      <w:numPr>
        <w:ilvl w:val="0"/>
        <w:numId w:val="8"/>
      </w:numPr>
      <w:spacing w:line="300" w:lineRule="auto"/>
    </w:pPr>
    <w:rPr>
      <w:rFonts w:ascii="宋体" w:hAnsi="Calibri"/>
      <w:sz w:val="24"/>
      <w:szCs w:val="21"/>
    </w:rPr>
  </w:style>
  <w:style w:type="paragraph" w:styleId="1113">
    <w:name w:val="正文须知-2级"/>
    <w:basedOn w:val="899"/>
    <w:next w:val="1113"/>
    <w:link w:val="899"/>
    <w:qFormat/>
    <w:pPr>
      <w:numPr>
        <w:ilvl w:val="1"/>
        <w:numId w:val="8"/>
      </w:numPr>
      <w:spacing w:line="300" w:lineRule="auto"/>
    </w:pPr>
    <w:rPr>
      <w:rFonts w:ascii="宋体" w:hAnsi="Calibri"/>
      <w:sz w:val="24"/>
      <w:szCs w:val="21"/>
    </w:rPr>
  </w:style>
  <w:style w:type="paragraph" w:styleId="1114">
    <w:name w:val="正文须知-3级"/>
    <w:basedOn w:val="899"/>
    <w:next w:val="1114"/>
    <w:link w:val="899"/>
    <w:qFormat/>
    <w:pPr>
      <w:numPr>
        <w:ilvl w:val="2"/>
        <w:numId w:val="8"/>
      </w:numPr>
      <w:ind w:hanging="355"/>
      <w:spacing w:line="300" w:lineRule="auto"/>
    </w:pPr>
    <w:rPr>
      <w:rFonts w:ascii="宋体" w:hAnsi="Calibri"/>
      <w:sz w:val="24"/>
      <w:szCs w:val="21"/>
    </w:rPr>
  </w:style>
  <w:style w:type="character" w:styleId="1115">
    <w:name w:val="纯文本 字符"/>
    <w:next w:val="1115"/>
    <w:link w:val="899"/>
    <w:uiPriority w:val="99"/>
    <w:qFormat/>
    <w:rPr>
      <w:rFonts w:ascii="宋体" w:hAnsi="Courier New" w:eastAsia="宋体" w:cs="Times New Roman"/>
      <w:sz w:val="21"/>
      <w:szCs w:val="21"/>
      <w:lang w:val="en-US" w:eastAsia="zh-CN" w:bidi="ar-SA"/>
    </w:rPr>
  </w:style>
  <w:style w:type="paragraph" w:styleId="1116">
    <w:name w:val="表格1"/>
    <w:basedOn w:val="899"/>
    <w:next w:val="1116"/>
    <w:link w:val="899"/>
    <w:qFormat/>
    <w:pPr>
      <w:ind w:firstLine="480"/>
      <w:jc w:val="center"/>
    </w:pPr>
    <w:rPr>
      <w:sz w:val="24"/>
      <w:szCs w:val="20"/>
    </w:rPr>
  </w:style>
  <w:style w:type="character" w:styleId="1117">
    <w:name w:val="纯文本 字符1"/>
    <w:next w:val="1117"/>
    <w:link w:val="899"/>
    <w:qFormat/>
    <w:rPr>
      <w:rFonts w:ascii="宋体" w:hAnsi="Courier New"/>
    </w:rPr>
  </w:style>
  <w:style w:type="character" w:styleId="1118">
    <w:name w:val="bjh-p"/>
    <w:next w:val="1118"/>
    <w:link w:val="899"/>
    <w:qFormat/>
  </w:style>
  <w:style w:type="paragraph" w:styleId="1119">
    <w:name w:val="无标题条"/>
    <w:next w:val="899"/>
    <w:link w:val="899"/>
    <w:qFormat/>
    <w:pPr>
      <w:jc w:val="both"/>
    </w:pPr>
    <w:rPr>
      <w:sz w:val="21"/>
      <w:lang w:val="en-US" w:eastAsia="zh-CN" w:bidi="ar-SA"/>
    </w:rPr>
  </w:style>
  <w:style w:type="character" w:styleId="1120">
    <w:name w:val="正文格式 Char"/>
    <w:next w:val="1120"/>
    <w:link w:val="1121"/>
    <w:qFormat/>
    <w:rPr>
      <w:rFonts w:ascii="宋体" w:hAnsi="宋体"/>
      <w:sz w:val="24"/>
      <w:szCs w:val="24"/>
      <w:lang w:val="en-GB"/>
    </w:rPr>
  </w:style>
  <w:style w:type="paragraph" w:styleId="1121">
    <w:name w:val="正文格式"/>
    <w:basedOn w:val="899"/>
    <w:next w:val="1121"/>
    <w:link w:val="1120"/>
    <w:qFormat/>
    <w:pPr>
      <w:ind w:firstLine="480"/>
      <w:spacing w:line="360" w:lineRule="auto"/>
    </w:pPr>
    <w:rPr>
      <w:rFonts w:ascii="宋体" w:hAnsi="宋体"/>
      <w:sz w:val="24"/>
      <w:lang w:val="en-GB"/>
    </w:rPr>
  </w:style>
  <w:style w:type="character" w:styleId="1122">
    <w:name w:val="标题 3 Char"/>
    <w:next w:val="1122"/>
    <w:link w:val="899"/>
    <w:qFormat/>
    <w:rPr>
      <w:rFonts w:ascii="宋体" w:eastAsia="宋体"/>
      <w:b/>
      <w:sz w:val="24"/>
      <w:u w:val="single"/>
      <w:lang w:val="en-US" w:eastAsia="zh-CN" w:bidi="ar-SA"/>
    </w:rPr>
  </w:style>
  <w:style w:type="character" w:styleId="1123">
    <w:name w:val="正文缩进 Char"/>
    <w:next w:val="1123"/>
    <w:link w:val="899"/>
    <w:qFormat/>
    <w:rPr>
      <w:rFonts w:ascii="宋体" w:eastAsia="宋体"/>
      <w:sz w:val="24"/>
      <w:szCs w:val="24"/>
      <w:lang w:val="en-US" w:eastAsia="zh-CN" w:bidi="ar-SA"/>
    </w:rPr>
  </w:style>
  <w:style w:type="character" w:styleId="1124">
    <w:name w:val="Char Char111"/>
    <w:next w:val="1124"/>
    <w:link w:val="899"/>
    <w:qFormat/>
    <w:rPr>
      <w:rFonts w:ascii="宋体" w:eastAsia="宋体"/>
      <w:b/>
      <w:sz w:val="24"/>
      <w:u w:val="single"/>
      <w:lang w:val="en-US" w:eastAsia="zh-CN" w:bidi="ar-SA"/>
    </w:rPr>
  </w:style>
  <w:style w:type="character" w:styleId="1125">
    <w:name w:val="正文文本缩进 Char"/>
    <w:next w:val="1125"/>
    <w:link w:val="899"/>
    <w:qFormat/>
    <w:rPr>
      <w:rFonts w:eastAsia="宋体"/>
      <w:sz w:val="24"/>
      <w:szCs w:val="24"/>
      <w:lang w:val="en-US" w:eastAsia="zh-CN" w:bidi="ar-SA"/>
    </w:rPr>
  </w:style>
  <w:style w:type="character" w:styleId="1126">
    <w:name w:val="列出段落 Char"/>
    <w:next w:val="1126"/>
    <w:link w:val="899"/>
    <w:qFormat/>
    <w:rPr>
      <w:rFonts w:ascii="Calibri" w:hAnsi="Calibri" w:eastAsia="宋体"/>
      <w:sz w:val="21"/>
      <w:szCs w:val="22"/>
      <w:lang w:val="en-US" w:eastAsia="zh-CN" w:bidi="ar-SA"/>
    </w:rPr>
  </w:style>
  <w:style w:type="character" w:styleId="1127">
    <w:name w:val="页眉 Char"/>
    <w:next w:val="1127"/>
    <w:link w:val="899"/>
    <w:qFormat/>
    <w:rPr>
      <w:rFonts w:eastAsia="宋体"/>
      <w:sz w:val="18"/>
      <w:szCs w:val="18"/>
      <w:lang w:val="en-US" w:eastAsia="zh-CN" w:bidi="ar-SA"/>
    </w:rPr>
  </w:style>
  <w:style w:type="character" w:styleId="1128">
    <w:name w:val="标题 2 Char"/>
    <w:next w:val="1128"/>
    <w:link w:val="899"/>
    <w:qFormat/>
    <w:rPr>
      <w:rFonts w:ascii="Arial" w:hAnsi="Arial" w:eastAsia="黑体"/>
      <w:b/>
      <w:sz w:val="30"/>
      <w:lang w:val="en-US" w:eastAsia="zh-CN" w:bidi="ar-SA"/>
    </w:rPr>
  </w:style>
  <w:style w:type="paragraph" w:styleId="1129">
    <w:name w:val="字元 字元2"/>
    <w:basedOn w:val="899"/>
    <w:next w:val="1129"/>
    <w:link w:val="899"/>
    <w:qFormat/>
    <w:rPr>
      <w:rFonts w:ascii="Tahoma" w:hAnsi="Tahoma"/>
      <w:sz w:val="24"/>
      <w:szCs w:val="20"/>
    </w:rPr>
  </w:style>
  <w:style w:type="paragraph" w:styleId="1130">
    <w:name w:val="Char3 Char Char Char2"/>
    <w:basedOn w:val="899"/>
    <w:next w:val="1130"/>
    <w:link w:val="899"/>
    <w:qFormat/>
    <w:rPr>
      <w:rFonts w:ascii="Tahoma" w:hAnsi="Tahoma"/>
      <w:sz w:val="24"/>
      <w:szCs w:val="20"/>
    </w:rPr>
  </w:style>
  <w:style w:type="paragraph" w:styleId="1131">
    <w:name w:val="正文文本缩进2"/>
    <w:basedOn w:val="899"/>
    <w:next w:val="1131"/>
    <w:link w:val="899"/>
    <w:qFormat/>
    <w:pPr>
      <w:ind w:firstLine="480"/>
      <w:spacing w:line="480" w:lineRule="exact"/>
    </w:pPr>
    <w:rPr>
      <w:rFonts w:ascii="宋体" w:hAnsi="宋体"/>
      <w:sz w:val="24"/>
      <w:lang w:val="zh-CN" w:eastAsia="zh-CN"/>
    </w:rPr>
  </w:style>
  <w:style w:type="paragraph" w:styleId="1132">
    <w:name w:val="Char3"/>
    <w:basedOn w:val="899"/>
    <w:next w:val="1132"/>
    <w:link w:val="899"/>
    <w:qFormat/>
    <w:pPr>
      <w:tabs>
        <w:tab w:val="left" w:pos="360" w:leader="none"/>
      </w:tabs>
    </w:pPr>
    <w:rPr>
      <w:sz w:val="24"/>
    </w:rPr>
  </w:style>
  <w:style w:type="paragraph" w:styleId="1133">
    <w:name w:val="Char Char Char Char Char Char Char Char Char Char Char Char Char Char Char Char1"/>
    <w:basedOn w:val="899"/>
    <w:next w:val="1133"/>
    <w:link w:val="899"/>
    <w:qFormat/>
    <w:pPr>
      <w:jc w:val="center"/>
      <w:spacing w:after="160" w:line="240" w:lineRule="exact"/>
      <w:widowControl/>
    </w:pPr>
    <w:rPr>
      <w:rFonts w:ascii="宋体" w:hAnsi="宋体"/>
      <w:b/>
      <w:sz w:val="30"/>
      <w:szCs w:val="30"/>
      <w:lang w:eastAsia="en-US"/>
    </w:rPr>
  </w:style>
  <w:style w:type="paragraph" w:styleId="1134">
    <w:name w:val="Char Char1 Char Char Char Char Char Char1"/>
    <w:basedOn w:val="899"/>
    <w:next w:val="1134"/>
    <w:link w:val="899"/>
    <w:qFormat/>
    <w:pPr>
      <w:jc w:val="left"/>
      <w:spacing w:after="160" w:line="240" w:lineRule="exact"/>
      <w:widowControl/>
    </w:pPr>
    <w:rPr>
      <w:rFonts w:ascii="Verdana" w:hAnsi="Verdana" w:eastAsia="FangSong_GB2312"/>
      <w:sz w:val="24"/>
      <w:szCs w:val="20"/>
      <w:lang w:eastAsia="en-US"/>
    </w:rPr>
  </w:style>
  <w:style w:type="paragraph" w:styleId="1135">
    <w:name w:val="列出段落2"/>
    <w:basedOn w:val="899"/>
    <w:next w:val="1135"/>
    <w:link w:val="899"/>
    <w:qFormat/>
    <w:pPr>
      <w:ind w:firstLine="420"/>
    </w:pPr>
    <w:rPr>
      <w:rFonts w:ascii="Calibri" w:hAnsi="Calibri"/>
      <w:szCs w:val="22"/>
    </w:rPr>
  </w:style>
  <w:style w:type="paragraph" w:styleId="1136">
    <w:name w:val="Char Char Char1 Char2"/>
    <w:basedOn w:val="899"/>
    <w:next w:val="1136"/>
    <w:link w:val="899"/>
    <w:qFormat/>
    <w:rPr>
      <w:rFonts w:ascii="Tahoma" w:hAnsi="Tahoma"/>
      <w:sz w:val="24"/>
      <w:szCs w:val="20"/>
    </w:rPr>
  </w:style>
  <w:style w:type="paragraph" w:styleId="1137">
    <w:name w:val="Char Char Char2"/>
    <w:basedOn w:val="899"/>
    <w:next w:val="1137"/>
    <w:link w:val="899"/>
    <w:qFormat/>
    <w:rPr>
      <w:rFonts w:ascii="Tahoma" w:hAnsi="Tahoma"/>
      <w:sz w:val="24"/>
      <w:szCs w:val="20"/>
    </w:rPr>
  </w:style>
  <w:style w:type="paragraph" w:styleId="1138">
    <w:name w:val="Char Char Char Char Char Char Char2"/>
    <w:basedOn w:val="899"/>
    <w:next w:val="1138"/>
    <w:link w:val="899"/>
    <w:qFormat/>
    <w:pPr>
      <w:ind w:firstLine="200"/>
      <w:spacing w:line="360" w:lineRule="auto"/>
    </w:pPr>
    <w:rPr>
      <w:rFonts w:eastAsia="FangSong_GB2312"/>
      <w:sz w:val="24"/>
    </w:rPr>
  </w:style>
  <w:style w:type="paragraph" w:styleId="1139">
    <w:name w:val="正文缩进2"/>
    <w:basedOn w:val="899"/>
    <w:next w:val="1139"/>
    <w:link w:val="899"/>
    <w:qFormat/>
    <w:pPr>
      <w:ind w:firstLine="567"/>
      <w:spacing w:line="480" w:lineRule="exact"/>
      <w:widowControl/>
    </w:pPr>
    <w:rPr>
      <w:rFonts w:ascii="宋体"/>
      <w:color w:val="000000"/>
      <w:sz w:val="28"/>
      <w:szCs w:val="20"/>
      <w:lang w:val="zh-CN" w:eastAsia="zh-CN"/>
    </w:rPr>
  </w:style>
  <w:style w:type="paragraph" w:styleId="1140">
    <w:name w:val="Revision"/>
    <w:next w:val="1140"/>
    <w:link w:val="899"/>
    <w:qFormat/>
    <w:rPr>
      <w:sz w:val="21"/>
      <w:szCs w:val="24"/>
      <w:lang w:val="en-US" w:eastAsia="zh-CN" w:bidi="ar-SA"/>
    </w:rPr>
  </w:style>
  <w:style w:type="paragraph" w:styleId="1141">
    <w:name w:val="Char22"/>
    <w:basedOn w:val="899"/>
    <w:next w:val="1141"/>
    <w:link w:val="899"/>
    <w:qFormat/>
    <w:rPr>
      <w:rFonts w:ascii="Tahoma" w:hAnsi="Tahoma"/>
      <w:sz w:val="24"/>
      <w:szCs w:val="20"/>
    </w:rPr>
  </w:style>
  <w:style w:type="paragraph" w:styleId="1142">
    <w:name w:val="Char Char Char Char Char Char Char Char Char Char2"/>
    <w:basedOn w:val="899"/>
    <w:next w:val="1142"/>
    <w:link w:val="899"/>
    <w:qFormat/>
    <w:rPr>
      <w:rFonts w:ascii="宋体" w:hAnsi="宋体" w:cs="Courier New"/>
      <w:sz w:val="32"/>
      <w:szCs w:val="32"/>
    </w:rPr>
  </w:style>
  <w:style w:type="paragraph" w:styleId="1143">
    <w:name w:val="Char2 Char Char Char Char Char Char1"/>
    <w:basedOn w:val="899"/>
    <w:next w:val="1143"/>
    <w:link w:val="899"/>
    <w:qFormat/>
    <w:pPr>
      <w:jc w:val="center"/>
      <w:spacing w:line="400" w:lineRule="exact"/>
      <w:widowControl/>
    </w:pPr>
  </w:style>
  <w:style w:type="character" w:styleId="1144">
    <w:name w:val="页脚 Char"/>
    <w:next w:val="1144"/>
    <w:link w:val="899"/>
    <w:qFormat/>
    <w:rPr>
      <w:rFonts w:ascii="宋体" w:eastAsia="宋体"/>
      <w:sz w:val="18"/>
      <w:lang w:val="en-US" w:eastAsia="zh-CN" w:bidi="ar-SA"/>
    </w:rPr>
  </w:style>
  <w:style w:type="paragraph" w:styleId="1145">
    <w:name w:val="Char Char41"/>
    <w:basedOn w:val="899"/>
    <w:next w:val="1145"/>
    <w:link w:val="899"/>
    <w:qFormat/>
    <w:pPr>
      <w:jc w:val="center"/>
      <w:spacing w:line="400" w:lineRule="exact"/>
      <w:widowControl/>
    </w:pPr>
  </w:style>
  <w:style w:type="character" w:styleId="1146">
    <w:name w:val="批注文字 Char"/>
    <w:next w:val="1146"/>
    <w:link w:val="899"/>
    <w:uiPriority w:val="99"/>
    <w:qFormat/>
    <w:rPr>
      <w:sz w:val="21"/>
      <w:szCs w:val="24"/>
    </w:rPr>
  </w:style>
  <w:style w:type="character" w:styleId="1147">
    <w:name w:val="标题 Char"/>
    <w:next w:val="1147"/>
    <w:link w:val="899"/>
    <w:qFormat/>
    <w:rPr>
      <w:b/>
      <w:sz w:val="32"/>
    </w:rPr>
  </w:style>
  <w:style w:type="paragraph" w:styleId="1148">
    <w:name w:val="图例"/>
    <w:basedOn w:val="899"/>
    <w:next w:val="1148"/>
    <w:link w:val="899"/>
    <w:qFormat/>
    <w:pPr>
      <w:jc w:val="center"/>
      <w:spacing w:before="120" w:after="120" w:line="360" w:lineRule="auto"/>
    </w:pPr>
    <w:rPr>
      <w:rFonts w:eastAsia="FangSong_GB2312"/>
      <w:b/>
      <w:sz w:val="24"/>
      <w:szCs w:val="20"/>
    </w:rPr>
  </w:style>
  <w:style w:type="paragraph" w:styleId="1149">
    <w:name w:val="Table Paragraph"/>
    <w:basedOn w:val="899"/>
    <w:next w:val="1149"/>
    <w:link w:val="899"/>
    <w:uiPriority w:val="1"/>
    <w:qFormat/>
    <w:pPr>
      <w:jc w:val="left"/>
    </w:pPr>
    <w:rPr>
      <w:rFonts w:ascii="宋体" w:hAnsi="宋体" w:cs="宋体"/>
      <w:sz w:val="22"/>
      <w:szCs w:val="22"/>
      <w:lang w:eastAsia="en-US"/>
    </w:rPr>
  </w:style>
  <w:style w:type="table" w:styleId="1150">
    <w:name w:val="Table Normal"/>
    <w:next w:val="1150"/>
    <w:link w:val="899"/>
    <w:uiPriority w:val="2"/>
    <w:semiHidden/>
    <w:qFormat/>
    <w:pPr>
      <w:widowControl w:val="off"/>
    </w:pPr>
    <w:rPr>
      <w:rFonts w:ascii="Calibri" w:hAnsi="Calibri"/>
      <w:sz w:val="22"/>
      <w:szCs w:val="22"/>
      <w:lang w:val="en-US" w:eastAsia="en-US" w:bidi="ar-SA"/>
    </w:rPr>
    <w:tblPr/>
  </w:style>
  <w:style w:type="paragraph" w:styleId="1151">
    <w:name w:val="成文日期"/>
    <w:basedOn w:val="899"/>
    <w:next w:val="1151"/>
    <w:link w:val="1152"/>
    <w:qFormat/>
    <w:pPr>
      <w:ind w:right="400" w:firstLine="200"/>
      <w:jc w:val="right"/>
      <w:spacing w:line="570" w:lineRule="exact"/>
    </w:pPr>
    <w:rPr>
      <w:rFonts w:ascii="FangSong_GB2312" w:eastAsia="FangSong_GB2312"/>
      <w:sz w:val="32"/>
      <w:szCs w:val="20"/>
    </w:rPr>
  </w:style>
  <w:style w:type="character" w:styleId="1152">
    <w:name w:val="成文日期 Char"/>
    <w:next w:val="1152"/>
    <w:link w:val="1151"/>
    <w:rPr>
      <w:rFonts w:ascii="FangSong_GB2312" w:eastAsia="FangSong_GB2312"/>
      <w:sz w:val="32"/>
    </w:rPr>
  </w:style>
  <w:style w:type="paragraph" w:styleId="1153">
    <w:name w:val="纯文本1"/>
    <w:next w:val="954"/>
    <w:link w:val="899"/>
    <w:qFormat/>
    <w:pPr>
      <w:jc w:val="both"/>
      <w:widowControl w:val="off"/>
    </w:pPr>
    <w:rPr>
      <w:rFonts w:ascii="宋体" w:hAnsi="宋体"/>
      <w:sz w:val="26"/>
      <w:lang w:val="en-US" w:eastAsia="zh-CN" w:bidi="ar-SA"/>
    </w:rPr>
  </w:style>
  <w:style w:type="paragraph" w:styleId="1154">
    <w:name w:val="PlainText1"/>
    <w:basedOn w:val="899"/>
    <w:next w:val="1154"/>
    <w:link w:val="899"/>
    <w:uiPriority w:val="99"/>
    <w:qFormat/>
    <w:rPr>
      <w:rFonts w:ascii="宋体" w:hAnsi="Courier New"/>
    </w:rPr>
  </w:style>
  <w:style w:type="character" w:styleId="1155">
    <w:name w:val="font21"/>
    <w:next w:val="1155"/>
    <w:link w:val="899"/>
    <w:rPr>
      <w:rFonts w:hint="eastAsia" w:ascii="宋体" w:hAnsi="宋体" w:eastAsia="宋体" w:cs="宋体"/>
      <w:i w:val="0"/>
      <w:iCs w:val="0"/>
      <w:color w:val="000000"/>
      <w:sz w:val="24"/>
      <w:szCs w:val="24"/>
      <w:u w:val="none"/>
    </w:rPr>
  </w:style>
  <w:style w:type="character" w:styleId="1156">
    <w:name w:val="font41"/>
    <w:next w:val="1156"/>
    <w:link w:val="899"/>
    <w:rPr>
      <w:rFonts w:hint="eastAsia" w:ascii="宋体" w:hAnsi="宋体" w:eastAsia="宋体" w:cs="宋体"/>
      <w:i w:val="0"/>
      <w:iCs w:val="0"/>
      <w:color w:val="000000"/>
      <w:sz w:val="24"/>
      <w:szCs w:val="24"/>
      <w:u w:val="none"/>
    </w:rPr>
  </w:style>
  <w:style w:type="character" w:styleId="1157">
    <w:name w:val="font61"/>
    <w:next w:val="1157"/>
    <w:link w:val="899"/>
    <w:rPr>
      <w:rFonts w:hint="eastAsia" w:ascii="宋体" w:hAnsi="宋体" w:eastAsia="宋体" w:cs="宋体"/>
      <w:i w:val="0"/>
      <w:iCs w:val="0"/>
      <w:color w:val="000000"/>
      <w:sz w:val="24"/>
      <w:szCs w:val="24"/>
      <w:u w:val="none"/>
    </w:rPr>
  </w:style>
  <w:style w:type="character" w:styleId="1158">
    <w:name w:val="font01"/>
    <w:next w:val="1158"/>
    <w:link w:val="899"/>
    <w:rPr>
      <w:rFonts w:ascii="Arial" w:hAnsi="Arial" w:cs="Arial"/>
      <w:i w:val="0"/>
      <w:iCs w:val="0"/>
      <w:color w:val="000000"/>
      <w:sz w:val="24"/>
      <w:szCs w:val="24"/>
      <w:u w:val="none"/>
    </w:rPr>
  </w:style>
  <w:style w:type="paragraph" w:styleId="1159">
    <w:name w:val="Table Text"/>
    <w:basedOn w:val="899"/>
    <w:next w:val="1159"/>
    <w:link w:val="899"/>
    <w:semiHidden/>
    <w:qFormat/>
    <w:rPr>
      <w:rFonts w:ascii="宋体" w:hAnsi="宋体" w:eastAsia="宋体" w:cs="宋体"/>
      <w:sz w:val="21"/>
      <w:szCs w:val="21"/>
      <w:lang w:val="en-US" w:eastAsia="en-US" w:bidi="ar-SA"/>
    </w:rPr>
  </w:style>
  <w:style w:type="paragraph" w:styleId="1160">
    <w:name w:val="null3"/>
    <w:next w:val="1160"/>
    <w:link w:val="899"/>
    <w:qFormat/>
    <w:rPr>
      <w:rFonts w:hint="eastAsia" w:ascii="Calibri" w:hAnsi="Calibri" w:eastAsia="宋体" w:cs="Times New Roman"/>
      <w:lang w:val="en-US" w:eastAsia="zh-CN" w:bidi="ar-SA"/>
    </w:rPr>
  </w:style>
  <w:style w:type="paragraph" w:styleId="1161">
    <w:name w:val="目录 111"/>
    <w:next w:val="899"/>
    <w:link w:val="899"/>
    <w:uiPriority w:val="39"/>
    <w:unhideWhenUsed/>
    <w:qFormat/>
    <w:pPr>
      <w:spacing w:after="100" w:line="259" w:lineRule="auto"/>
    </w:pPr>
    <w:rPr>
      <w:rFonts w:ascii="Calibri" w:hAnsi="Calibri" w:eastAsia="宋体" w:cs="Times New Roman"/>
      <w:sz w:val="22"/>
      <w:szCs w:val="22"/>
      <w:lang w:val="en-US" w:eastAsia="zh-CN" w:bidi="ar-SA"/>
    </w:rPr>
  </w:style>
  <w:style w:type="paragraph" w:styleId="1162">
    <w:name w:val="正文文本1"/>
    <w:basedOn w:val="899"/>
    <w:next w:val="899"/>
    <w:link w:val="899"/>
    <w:qFormat/>
    <w:pPr>
      <w:spacing w:before="120" w:line="22" w:lineRule="atLeast"/>
      <w:tabs>
        <w:tab w:val="left" w:pos="567" w:leader="none"/>
      </w:tabs>
    </w:pPr>
    <w:rPr>
      <w:rFonts w:ascii="宋体" w:hAnsi="宋体"/>
      <w:sz w:val="24"/>
    </w:rPr>
  </w:style>
  <w:style w:type="paragraph" w:styleId="1163">
    <w:name w:val="￥正文"/>
    <w:next w:val="1163"/>
    <w:link w:val="899"/>
    <w:qFormat/>
    <w:pPr>
      <w:ind w:firstLine="200"/>
      <w:jc w:val="both"/>
      <w:spacing w:line="360" w:lineRule="auto"/>
      <w:widowControl w:val="off"/>
    </w:pPr>
    <w:rPr>
      <w:rFonts w:ascii="Calibri" w:hAnsi="Calibri" w:eastAsia="宋体" w:cs="Times New Roman"/>
      <w:sz w:val="24"/>
      <w:szCs w:val="22"/>
      <w:lang w:val="en-US" w:eastAsia="zh-CN" w:bidi="ar-SA"/>
    </w:rPr>
  </w:style>
  <w:style w:type="table" w:styleId="1164">
    <w:name w:val="TableGrid1"/>
    <w:next w:val="1164"/>
    <w:link w:val="899"/>
    <w:pPr>
      <w:spacing w:after="0" w:line="240" w:lineRule="auto"/>
    </w:pPr>
    <w:tblPr/>
  </w:style>
  <w:style w:type="character" w:styleId="1165" w:default="1">
    <w:name w:val="Default Paragraph Font"/>
    <w:uiPriority w:val="1"/>
    <w:semiHidden/>
    <w:unhideWhenUsed/>
  </w:style>
  <w:style w:type="numbering" w:styleId="1166" w:default="1">
    <w:name w:val="No List"/>
    <w:uiPriority w:val="99"/>
    <w:semiHidden/>
    <w:unhideWhenUsed/>
  </w:style>
  <w:style w:type="table" w:styleId="11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5"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7"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8"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9"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30" TargetMode="External"/><Relationship Id="rId19" Type="http://schemas.openxmlformats.org/officeDocument/2006/relationships/hyperlink" Target="http://gks.mof.gov.cn/ztztz/zhengfucaigouguanli/201802/t20180201_2804589.htm" TargetMode="External"/><Relationship Id="rId20"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刘书</dc:creator>
  <cp:lastModifiedBy>黄贤</cp:lastModifiedBy>
  <cp:revision>4</cp:revision>
  <dcterms:created xsi:type="dcterms:W3CDTF">2022-05-30T08:03:00Z</dcterms:created>
  <dcterms:modified xsi:type="dcterms:W3CDTF">2026-03-03T06:38:15Z</dcterms:modified>
</cp:coreProperties>
</file>